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8B0D" w14:textId="77777777" w:rsidR="00252D95" w:rsidRDefault="00252D95" w:rsidP="00252D95">
      <w:pPr>
        <w:widowControl w:val="0"/>
        <w:pBdr>
          <w:top w:val="nil"/>
          <w:left w:val="nil"/>
          <w:bottom w:val="nil"/>
          <w:right w:val="nil"/>
          <w:between w:val="nil"/>
        </w:pBdr>
        <w:spacing w:before="262" w:line="234" w:lineRule="auto"/>
        <w:ind w:left="348" w:right="528"/>
        <w:jc w:val="center"/>
        <w:rPr>
          <w:rFonts w:asciiTheme="minorHAnsi" w:eastAsia="Times New Roman" w:hAnsiTheme="minorHAnsi" w:cs="Times New Roman"/>
          <w:b/>
          <w:color w:val="000000"/>
          <w:sz w:val="28"/>
          <w:szCs w:val="28"/>
        </w:rPr>
      </w:pPr>
      <w:r w:rsidRPr="006B1021">
        <w:rPr>
          <w:rFonts w:asciiTheme="minorHAnsi" w:hAnsiTheme="minorHAnsi"/>
          <w:noProof/>
          <w:sz w:val="28"/>
          <w:szCs w:val="28"/>
        </w:rPr>
        <w:drawing>
          <wp:anchor distT="19050" distB="19050" distL="19050" distR="19050" simplePos="0" relativeHeight="251658240" behindDoc="0" locked="0" layoutInCell="1" hidden="0" allowOverlap="1" wp14:anchorId="58F7D815" wp14:editId="5687DBB6">
            <wp:simplePos x="0" y="0"/>
            <wp:positionH relativeFrom="column">
              <wp:posOffset>4982845</wp:posOffset>
            </wp:positionH>
            <wp:positionV relativeFrom="paragraph">
              <wp:posOffset>148590</wp:posOffset>
            </wp:positionV>
            <wp:extent cx="558800" cy="558800"/>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8800" cy="558800"/>
                    </a:xfrm>
                    <a:prstGeom prst="rect">
                      <a:avLst/>
                    </a:prstGeom>
                    <a:ln/>
                  </pic:spPr>
                </pic:pic>
              </a:graphicData>
            </a:graphic>
            <wp14:sizeRelH relativeFrom="margin">
              <wp14:pctWidth>0</wp14:pctWidth>
            </wp14:sizeRelH>
            <wp14:sizeRelV relativeFrom="margin">
              <wp14:pctHeight>0</wp14:pctHeight>
            </wp14:sizeRelV>
          </wp:anchor>
        </w:drawing>
      </w:r>
      <w:r w:rsidRPr="00252D95">
        <w:rPr>
          <w:rFonts w:asciiTheme="minorHAnsi" w:eastAsia="Times New Roman" w:hAnsiTheme="minorHAnsi" w:cs="Times New Roman"/>
          <w:b/>
          <w:sz w:val="28"/>
          <w:szCs w:val="28"/>
        </w:rPr>
        <w:t xml:space="preserve">Analysis of Mathematics Learning Habits Profiles as a Reflection of Character Education in Schools </w:t>
      </w:r>
    </w:p>
    <w:p w14:paraId="497262B6" w14:textId="77777777" w:rsidR="00252D95" w:rsidRDefault="00252D95" w:rsidP="00252D95">
      <w:pPr>
        <w:widowControl w:val="0"/>
        <w:pBdr>
          <w:top w:val="nil"/>
          <w:left w:val="nil"/>
          <w:bottom w:val="nil"/>
          <w:right w:val="nil"/>
          <w:between w:val="nil"/>
        </w:pBdr>
        <w:spacing w:before="262" w:line="234" w:lineRule="auto"/>
        <w:ind w:left="348" w:right="528"/>
        <w:jc w:val="center"/>
        <w:rPr>
          <w:rFonts w:asciiTheme="minorHAnsi" w:eastAsia="Times New Roman" w:hAnsiTheme="minorHAnsi" w:cs="Times New Roman"/>
          <w:b/>
          <w:color w:val="000000"/>
          <w:sz w:val="28"/>
          <w:szCs w:val="28"/>
        </w:rPr>
      </w:pPr>
    </w:p>
    <w:p w14:paraId="3907895D" w14:textId="4CED5F6B" w:rsidR="007A45A2" w:rsidRPr="00252D95" w:rsidRDefault="00252D95" w:rsidP="00AB4427">
      <w:pPr>
        <w:widowControl w:val="0"/>
        <w:pBdr>
          <w:top w:val="nil"/>
          <w:left w:val="nil"/>
          <w:bottom w:val="nil"/>
          <w:right w:val="nil"/>
          <w:between w:val="nil"/>
        </w:pBdr>
        <w:spacing w:before="262" w:line="234" w:lineRule="auto"/>
        <w:ind w:left="348" w:right="528"/>
        <w:jc w:val="center"/>
        <w:rPr>
          <w:rFonts w:asciiTheme="minorHAnsi" w:eastAsia="Times New Roman" w:hAnsiTheme="minorHAnsi" w:cs="Times New Roman"/>
          <w:b/>
          <w:color w:val="000000"/>
          <w:sz w:val="28"/>
          <w:szCs w:val="28"/>
        </w:rPr>
      </w:pPr>
      <w:r w:rsidRPr="00252D95">
        <w:rPr>
          <w:rFonts w:ascii="Times New Roman" w:eastAsia="Times New Roman" w:hAnsi="Times New Roman" w:cs="Times New Roman"/>
          <w:b/>
        </w:rPr>
        <w:t>Neza Juspika</w:t>
      </w:r>
      <w:r w:rsidRPr="00AB4427">
        <w:rPr>
          <w:rFonts w:ascii="Times New Roman" w:eastAsia="Times New Roman" w:hAnsi="Times New Roman" w:cs="Times New Roman"/>
          <w:b/>
          <w:vertAlign w:val="superscript"/>
        </w:rPr>
        <w:t>1</w:t>
      </w:r>
      <w:r w:rsidRPr="00252D95">
        <w:rPr>
          <w:rFonts w:ascii="Times New Roman" w:eastAsia="Times New Roman" w:hAnsi="Times New Roman" w:cs="Times New Roman"/>
          <w:b/>
        </w:rPr>
        <w:t>*, Sujiani1, Aura Anisa</w:t>
      </w:r>
      <w:r w:rsidRPr="00AB4427">
        <w:rPr>
          <w:rFonts w:ascii="Times New Roman" w:eastAsia="Times New Roman" w:hAnsi="Times New Roman" w:cs="Times New Roman"/>
          <w:b/>
          <w:vertAlign w:val="superscript"/>
        </w:rPr>
        <w:t>1</w:t>
      </w:r>
      <w:r w:rsidRPr="00252D95">
        <w:rPr>
          <w:rFonts w:ascii="Times New Roman" w:eastAsia="Times New Roman" w:hAnsi="Times New Roman" w:cs="Times New Roman"/>
          <w:b/>
        </w:rPr>
        <w:t>, Siti Sarah</w:t>
      </w:r>
      <w:r w:rsidRPr="00AB4427">
        <w:rPr>
          <w:rFonts w:ascii="Times New Roman" w:eastAsia="Times New Roman" w:hAnsi="Times New Roman" w:cs="Times New Roman"/>
          <w:b/>
          <w:vertAlign w:val="superscript"/>
        </w:rPr>
        <w:t>1</w:t>
      </w:r>
      <w:r w:rsidRPr="00252D95">
        <w:rPr>
          <w:rFonts w:ascii="Times New Roman" w:eastAsia="Times New Roman" w:hAnsi="Times New Roman" w:cs="Times New Roman"/>
          <w:b/>
        </w:rPr>
        <w:t xml:space="preserve">, Lussy </w:t>
      </w:r>
      <w:proofErr w:type="spellStart"/>
      <w:r w:rsidRPr="00252D95">
        <w:rPr>
          <w:rFonts w:ascii="Times New Roman" w:eastAsia="Times New Roman" w:hAnsi="Times New Roman" w:cs="Times New Roman"/>
          <w:b/>
        </w:rPr>
        <w:t>Midani</w:t>
      </w:r>
      <w:proofErr w:type="spellEnd"/>
      <w:r w:rsidRPr="00252D95">
        <w:rPr>
          <w:rFonts w:ascii="Times New Roman" w:eastAsia="Times New Roman" w:hAnsi="Times New Roman" w:cs="Times New Roman"/>
          <w:b/>
        </w:rPr>
        <w:t xml:space="preserve"> Rizky</w:t>
      </w:r>
      <w:r w:rsidRPr="00AB4427">
        <w:rPr>
          <w:rFonts w:ascii="Times New Roman" w:eastAsia="Times New Roman" w:hAnsi="Times New Roman" w:cs="Times New Roman"/>
          <w:b/>
          <w:vertAlign w:val="superscript"/>
        </w:rPr>
        <w:t>1</w:t>
      </w:r>
    </w:p>
    <w:p w14:paraId="787706DA" w14:textId="77777777" w:rsidR="00252D95" w:rsidRDefault="00000000" w:rsidP="00252D95">
      <w:pPr>
        <w:widowControl w:val="0"/>
        <w:pBdr>
          <w:top w:val="nil"/>
          <w:left w:val="nil"/>
          <w:bottom w:val="nil"/>
          <w:right w:val="nil"/>
          <w:between w:val="nil"/>
        </w:pBdr>
        <w:spacing w:before="27" w:line="227" w:lineRule="auto"/>
        <w:ind w:left="291" w:right="522"/>
        <w:jc w:val="center"/>
        <w:rPr>
          <w:rFonts w:ascii="Times New Roman" w:eastAsia="Times New Roman" w:hAnsi="Times New Roman" w:cs="Times New Roman"/>
        </w:rPr>
      </w:pPr>
      <w:r>
        <w:rPr>
          <w:rFonts w:ascii="Times New Roman" w:eastAsia="Times New Roman" w:hAnsi="Times New Roman" w:cs="Times New Roman"/>
          <w:color w:val="000000"/>
          <w:sz w:val="23"/>
          <w:szCs w:val="23"/>
          <w:vertAlign w:val="superscript"/>
        </w:rPr>
        <w:t>1</w:t>
      </w:r>
      <w:r w:rsidR="00252D95" w:rsidRPr="00252D95">
        <w:t xml:space="preserve"> </w:t>
      </w:r>
      <w:r w:rsidR="00252D95" w:rsidRPr="00252D95">
        <w:rPr>
          <w:rFonts w:ascii="Times New Roman" w:eastAsia="Times New Roman" w:hAnsi="Times New Roman" w:cs="Times New Roman"/>
        </w:rPr>
        <w:t xml:space="preserve">Department of Mathematics Education, Universitas </w:t>
      </w:r>
      <w:proofErr w:type="spellStart"/>
      <w:r w:rsidR="00252D95" w:rsidRPr="00252D95">
        <w:rPr>
          <w:rFonts w:ascii="Times New Roman" w:eastAsia="Times New Roman" w:hAnsi="Times New Roman" w:cs="Times New Roman"/>
        </w:rPr>
        <w:t>Pahlawan</w:t>
      </w:r>
      <w:proofErr w:type="spellEnd"/>
      <w:r w:rsidR="00252D95" w:rsidRPr="00252D95">
        <w:rPr>
          <w:rFonts w:ascii="Times New Roman" w:eastAsia="Times New Roman" w:hAnsi="Times New Roman" w:cs="Times New Roman"/>
        </w:rPr>
        <w:t xml:space="preserve"> Tuanku Tambusai, Kampar, Riau, Indonesia </w:t>
      </w:r>
    </w:p>
    <w:p w14:paraId="7A32F3E6" w14:textId="7E77E96B" w:rsidR="007A45A2" w:rsidRDefault="00000000" w:rsidP="00252D95">
      <w:pPr>
        <w:widowControl w:val="0"/>
        <w:pBdr>
          <w:top w:val="nil"/>
          <w:left w:val="nil"/>
          <w:bottom w:val="nil"/>
          <w:right w:val="nil"/>
          <w:between w:val="nil"/>
        </w:pBdr>
        <w:spacing w:before="27" w:line="227" w:lineRule="auto"/>
        <w:ind w:left="291" w:right="522"/>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Korespondensi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r w:rsidR="00252D95" w:rsidRPr="00252D95">
        <w:rPr>
          <w:rFonts w:ascii="Times New Roman" w:eastAsia="Times New Roman" w:hAnsi="Times New Roman" w:cs="Times New Roman"/>
          <w:color w:val="000000"/>
        </w:rPr>
        <w:t>E-mail: nezajuspika@gmail.com, Telp: +6282388050596</w:t>
      </w:r>
    </w:p>
    <w:p w14:paraId="0FC3BFF6" w14:textId="77777777" w:rsidR="007A45A2" w:rsidRDefault="007A45A2">
      <w:pPr>
        <w:widowControl w:val="0"/>
        <w:pBdr>
          <w:top w:val="nil"/>
          <w:left w:val="nil"/>
          <w:bottom w:val="nil"/>
          <w:right w:val="nil"/>
          <w:between w:val="nil"/>
        </w:pBdr>
        <w:spacing w:before="5" w:line="240" w:lineRule="auto"/>
        <w:jc w:val="center"/>
        <w:rPr>
          <w:rFonts w:ascii="Times New Roman" w:eastAsia="Times New Roman" w:hAnsi="Times New Roman" w:cs="Times New Roman"/>
        </w:rPr>
      </w:pPr>
    </w:p>
    <w:p w14:paraId="63A7E827" w14:textId="77777777" w:rsidR="007A45A2" w:rsidRDefault="00000000">
      <w:pPr>
        <w:widowControl w:val="0"/>
        <w:pBdr>
          <w:top w:val="nil"/>
          <w:left w:val="nil"/>
          <w:bottom w:val="nil"/>
          <w:right w:val="nil"/>
          <w:between w:val="nil"/>
        </w:pBdr>
        <w:spacing w:before="5"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Abstrak</w:t>
      </w:r>
      <w:proofErr w:type="spellEnd"/>
      <w:r>
        <w:rPr>
          <w:rFonts w:ascii="Times New Roman" w:eastAsia="Times New Roman" w:hAnsi="Times New Roman" w:cs="Times New Roman"/>
          <w:b/>
          <w:color w:val="000000"/>
        </w:rPr>
        <w:t xml:space="preserve"> </w:t>
      </w:r>
    </w:p>
    <w:p w14:paraId="3B820B51" w14:textId="12C6E319" w:rsidR="007A45A2" w:rsidRDefault="00252D95">
      <w:pPr>
        <w:widowControl w:val="0"/>
        <w:pBdr>
          <w:top w:val="nil"/>
          <w:left w:val="nil"/>
          <w:bottom w:val="nil"/>
          <w:right w:val="nil"/>
          <w:between w:val="nil"/>
        </w:pBdr>
        <w:spacing w:line="230" w:lineRule="auto"/>
        <w:ind w:left="40" w:right="262" w:hanging="21"/>
        <w:jc w:val="both"/>
        <w:rPr>
          <w:rFonts w:ascii="Times New Roman" w:eastAsia="Times New Roman" w:hAnsi="Times New Roman" w:cs="Times New Roman"/>
        </w:rPr>
      </w:pPr>
      <w:proofErr w:type="spellStart"/>
      <w:r w:rsidRPr="00252D95">
        <w:rPr>
          <w:rFonts w:ascii="Times New Roman" w:eastAsia="Times New Roman" w:hAnsi="Times New Roman" w:cs="Times New Roman"/>
          <w:sz w:val="20"/>
          <w:szCs w:val="20"/>
        </w:rPr>
        <w:t>Penelitian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ini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bertujuan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untuk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menganalisis</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profil</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kebiasaan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belajar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matematika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siswa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sebagai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refleksi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dari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implementasi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pendidikan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karakter</w:t>
      </w:r>
      <w:proofErr w:type="spellEnd"/>
      <w:r w:rsidRPr="00252D95">
        <w:rPr>
          <w:rFonts w:ascii="Times New Roman" w:eastAsia="Times New Roman" w:hAnsi="Times New Roman" w:cs="Times New Roman"/>
          <w:sz w:val="20"/>
          <w:szCs w:val="20"/>
        </w:rPr>
        <w:t xml:space="preserve"> di </w:t>
      </w:r>
      <w:proofErr w:type="spellStart"/>
      <w:r w:rsidRPr="00252D95">
        <w:rPr>
          <w:rFonts w:ascii="Times New Roman" w:eastAsia="Times New Roman" w:hAnsi="Times New Roman" w:cs="Times New Roman"/>
          <w:sz w:val="20"/>
          <w:szCs w:val="20"/>
        </w:rPr>
        <w:t>sekolah</w:t>
      </w:r>
      <w:proofErr w:type="spellEnd"/>
      <w:r w:rsidRPr="00252D95">
        <w:rPr>
          <w:rFonts w:ascii="Times New Roman" w:eastAsia="Times New Roman" w:hAnsi="Times New Roman" w:cs="Times New Roman"/>
          <w:sz w:val="20"/>
          <w:szCs w:val="20"/>
        </w:rPr>
        <w:t xml:space="preserve">. Metode yang </w:t>
      </w:r>
      <w:proofErr w:type="spellStart"/>
      <w:r w:rsidRPr="00252D95">
        <w:rPr>
          <w:rFonts w:ascii="Times New Roman" w:eastAsia="Times New Roman" w:hAnsi="Times New Roman" w:cs="Times New Roman"/>
          <w:sz w:val="20"/>
          <w:szCs w:val="20"/>
        </w:rPr>
        <w:t>digunakan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adalah</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deskriptif</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kuantitatif</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dengan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instrumen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angket</w:t>
      </w:r>
      <w:proofErr w:type="spellEnd"/>
      <w:r w:rsidRPr="00252D95">
        <w:rPr>
          <w:rFonts w:ascii="Times New Roman" w:eastAsia="Times New Roman" w:hAnsi="Times New Roman" w:cs="Times New Roman"/>
          <w:sz w:val="20"/>
          <w:szCs w:val="20"/>
        </w:rPr>
        <w:t xml:space="preserve"> yang </w:t>
      </w:r>
      <w:proofErr w:type="spellStart"/>
      <w:r w:rsidRPr="00252D95">
        <w:rPr>
          <w:rFonts w:ascii="Times New Roman" w:eastAsia="Times New Roman" w:hAnsi="Times New Roman" w:cs="Times New Roman"/>
          <w:sz w:val="20"/>
          <w:szCs w:val="20"/>
        </w:rPr>
        <w:t>disebarkan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kepada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siswa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untuk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mengukur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beberapa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aspek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karakter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yaitu</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tanggung</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jawab</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disiplin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kejujuran</w:t>
      </w:r>
      <w:proofErr w:type="spellEnd"/>
      <w:r w:rsidRPr="00252D95">
        <w:rPr>
          <w:rFonts w:ascii="Times New Roman" w:eastAsia="Times New Roman" w:hAnsi="Times New Roman" w:cs="Times New Roman"/>
          <w:sz w:val="20"/>
          <w:szCs w:val="20"/>
        </w:rPr>
        <w:t xml:space="preserve">, dan </w:t>
      </w:r>
      <w:proofErr w:type="spellStart"/>
      <w:r w:rsidRPr="00252D95">
        <w:rPr>
          <w:rFonts w:ascii="Times New Roman" w:eastAsia="Times New Roman" w:hAnsi="Times New Roman" w:cs="Times New Roman"/>
          <w:sz w:val="20"/>
          <w:szCs w:val="20"/>
        </w:rPr>
        <w:t>inisiatif</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dalam</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belajar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matematika</w:t>
      </w:r>
      <w:proofErr w:type="spellEnd"/>
      <w:r w:rsidRPr="00252D95">
        <w:rPr>
          <w:rFonts w:ascii="Times New Roman" w:eastAsia="Times New Roman" w:hAnsi="Times New Roman" w:cs="Times New Roman"/>
          <w:sz w:val="20"/>
          <w:szCs w:val="20"/>
        </w:rPr>
        <w:t xml:space="preserve">. Hasil </w:t>
      </w:r>
      <w:proofErr w:type="spellStart"/>
      <w:r w:rsidRPr="00252D95">
        <w:rPr>
          <w:rFonts w:ascii="Times New Roman" w:eastAsia="Times New Roman" w:hAnsi="Times New Roman" w:cs="Times New Roman"/>
          <w:sz w:val="20"/>
          <w:szCs w:val="20"/>
        </w:rPr>
        <w:t>penelitian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menunjukkan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bahwa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aspek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tanggung</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jawab</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memperoleh</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skor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tertinggi</w:t>
      </w:r>
      <w:proofErr w:type="spellEnd"/>
      <w:r w:rsidRPr="00252D95">
        <w:rPr>
          <w:rFonts w:ascii="Times New Roman" w:eastAsia="Times New Roman" w:hAnsi="Times New Roman" w:cs="Times New Roman"/>
          <w:sz w:val="20"/>
          <w:szCs w:val="20"/>
        </w:rPr>
        <w:t xml:space="preserve"> (4,21), </w:t>
      </w:r>
      <w:proofErr w:type="spellStart"/>
      <w:r w:rsidRPr="00252D95">
        <w:rPr>
          <w:rFonts w:ascii="Times New Roman" w:eastAsia="Times New Roman" w:hAnsi="Times New Roman" w:cs="Times New Roman"/>
          <w:sz w:val="20"/>
          <w:szCs w:val="20"/>
        </w:rPr>
        <w:t>menandakan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siswa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memiliki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kebiasaan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positif</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dalam</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menyelesaikan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tugas</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secara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mandiri</w:t>
      </w:r>
      <w:proofErr w:type="spellEnd"/>
      <w:r w:rsidRPr="00252D95">
        <w:rPr>
          <w:rFonts w:ascii="Times New Roman" w:eastAsia="Times New Roman" w:hAnsi="Times New Roman" w:cs="Times New Roman"/>
          <w:sz w:val="20"/>
          <w:szCs w:val="20"/>
        </w:rPr>
        <w:t xml:space="preserve"> dan </w:t>
      </w:r>
      <w:proofErr w:type="spellStart"/>
      <w:r w:rsidRPr="00252D95">
        <w:rPr>
          <w:rFonts w:ascii="Times New Roman" w:eastAsia="Times New Roman" w:hAnsi="Times New Roman" w:cs="Times New Roman"/>
          <w:sz w:val="20"/>
          <w:szCs w:val="20"/>
        </w:rPr>
        <w:t>tepat</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waktu</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Aspek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disiplin</w:t>
      </w:r>
      <w:proofErr w:type="spellEnd"/>
      <w:r w:rsidRPr="00252D95">
        <w:rPr>
          <w:rFonts w:ascii="Times New Roman" w:eastAsia="Times New Roman" w:hAnsi="Times New Roman" w:cs="Times New Roman"/>
          <w:sz w:val="20"/>
          <w:szCs w:val="20"/>
        </w:rPr>
        <w:t xml:space="preserve"> (3,88) dan </w:t>
      </w:r>
      <w:proofErr w:type="spellStart"/>
      <w:r w:rsidRPr="00252D95">
        <w:rPr>
          <w:rFonts w:ascii="Times New Roman" w:eastAsia="Times New Roman" w:hAnsi="Times New Roman" w:cs="Times New Roman"/>
          <w:sz w:val="20"/>
          <w:szCs w:val="20"/>
        </w:rPr>
        <w:t>kejujuran</w:t>
      </w:r>
      <w:proofErr w:type="spellEnd"/>
      <w:r w:rsidRPr="00252D95">
        <w:rPr>
          <w:rFonts w:ascii="Times New Roman" w:eastAsia="Times New Roman" w:hAnsi="Times New Roman" w:cs="Times New Roman"/>
          <w:sz w:val="20"/>
          <w:szCs w:val="20"/>
        </w:rPr>
        <w:t xml:space="preserve"> (3,67) juga </w:t>
      </w:r>
      <w:proofErr w:type="spellStart"/>
      <w:r w:rsidRPr="00252D95">
        <w:rPr>
          <w:rFonts w:ascii="Times New Roman" w:eastAsia="Times New Roman" w:hAnsi="Times New Roman" w:cs="Times New Roman"/>
          <w:sz w:val="20"/>
          <w:szCs w:val="20"/>
        </w:rPr>
        <w:t>berada</w:t>
      </w:r>
      <w:proofErr w:type="spellEnd"/>
      <w:r w:rsidRPr="00252D95">
        <w:rPr>
          <w:rFonts w:ascii="Times New Roman" w:eastAsia="Times New Roman" w:hAnsi="Times New Roman" w:cs="Times New Roman"/>
          <w:sz w:val="20"/>
          <w:szCs w:val="20"/>
        </w:rPr>
        <w:t xml:space="preserve"> pada </w:t>
      </w:r>
      <w:proofErr w:type="spellStart"/>
      <w:r w:rsidRPr="00252D95">
        <w:rPr>
          <w:rFonts w:ascii="Times New Roman" w:eastAsia="Times New Roman" w:hAnsi="Times New Roman" w:cs="Times New Roman"/>
          <w:sz w:val="20"/>
          <w:szCs w:val="20"/>
        </w:rPr>
        <w:t>kategori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baik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meskipun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terdapat</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indikasi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masih</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adanya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perilaku</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belajar</w:t>
      </w:r>
      <w:proofErr w:type="spellEnd"/>
      <w:r w:rsidRPr="00252D95">
        <w:rPr>
          <w:rFonts w:ascii="Times New Roman" w:eastAsia="Times New Roman" w:hAnsi="Times New Roman" w:cs="Times New Roman"/>
          <w:sz w:val="20"/>
          <w:szCs w:val="20"/>
        </w:rPr>
        <w:t xml:space="preserve"> yang </w:t>
      </w:r>
      <w:proofErr w:type="spellStart"/>
      <w:r w:rsidRPr="00252D95">
        <w:rPr>
          <w:rFonts w:ascii="Times New Roman" w:eastAsia="Times New Roman" w:hAnsi="Times New Roman" w:cs="Times New Roman"/>
          <w:sz w:val="20"/>
          <w:szCs w:val="20"/>
        </w:rPr>
        <w:t>tidak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konsisten</w:t>
      </w:r>
      <w:proofErr w:type="spellEnd"/>
      <w:r w:rsidRPr="00252D95">
        <w:rPr>
          <w:rFonts w:ascii="Times New Roman" w:eastAsia="Times New Roman" w:hAnsi="Times New Roman" w:cs="Times New Roman"/>
          <w:sz w:val="20"/>
          <w:szCs w:val="20"/>
        </w:rPr>
        <w:t xml:space="preserve">. Skor </w:t>
      </w:r>
      <w:proofErr w:type="spellStart"/>
      <w:r w:rsidRPr="00252D95">
        <w:rPr>
          <w:rFonts w:ascii="Times New Roman" w:eastAsia="Times New Roman" w:hAnsi="Times New Roman" w:cs="Times New Roman"/>
          <w:sz w:val="20"/>
          <w:szCs w:val="20"/>
        </w:rPr>
        <w:t>terendah</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terdapat</w:t>
      </w:r>
      <w:proofErr w:type="spellEnd"/>
      <w:r w:rsidRPr="00252D95">
        <w:rPr>
          <w:rFonts w:ascii="Times New Roman" w:eastAsia="Times New Roman" w:hAnsi="Times New Roman" w:cs="Times New Roman"/>
          <w:sz w:val="20"/>
          <w:szCs w:val="20"/>
        </w:rPr>
        <w:t xml:space="preserve"> pada </w:t>
      </w:r>
      <w:proofErr w:type="spellStart"/>
      <w:r w:rsidRPr="00252D95">
        <w:rPr>
          <w:rFonts w:ascii="Times New Roman" w:eastAsia="Times New Roman" w:hAnsi="Times New Roman" w:cs="Times New Roman"/>
          <w:sz w:val="20"/>
          <w:szCs w:val="20"/>
        </w:rPr>
        <w:t>aspek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inisiatif</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bertanya</w:t>
      </w:r>
      <w:proofErr w:type="spellEnd"/>
      <w:r w:rsidRPr="00252D95">
        <w:rPr>
          <w:rFonts w:ascii="Times New Roman" w:eastAsia="Times New Roman" w:hAnsi="Times New Roman" w:cs="Times New Roman"/>
          <w:sz w:val="20"/>
          <w:szCs w:val="20"/>
        </w:rPr>
        <w:t>/</w:t>
      </w:r>
      <w:proofErr w:type="spellStart"/>
      <w:r w:rsidRPr="00252D95">
        <w:rPr>
          <w:rFonts w:ascii="Times New Roman" w:eastAsia="Times New Roman" w:hAnsi="Times New Roman" w:cs="Times New Roman"/>
          <w:sz w:val="20"/>
          <w:szCs w:val="20"/>
        </w:rPr>
        <w:t>memahami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materi</w:t>
      </w:r>
      <w:proofErr w:type="spellEnd"/>
      <w:r w:rsidRPr="00252D95">
        <w:rPr>
          <w:rFonts w:ascii="Times New Roman" w:eastAsia="Times New Roman" w:hAnsi="Times New Roman" w:cs="Times New Roman"/>
          <w:sz w:val="20"/>
          <w:szCs w:val="20"/>
        </w:rPr>
        <w:t xml:space="preserve"> (3,45), yang </w:t>
      </w:r>
      <w:proofErr w:type="spellStart"/>
      <w:r w:rsidRPr="00252D95">
        <w:rPr>
          <w:rFonts w:ascii="Times New Roman" w:eastAsia="Times New Roman" w:hAnsi="Times New Roman" w:cs="Times New Roman"/>
          <w:sz w:val="20"/>
          <w:szCs w:val="20"/>
        </w:rPr>
        <w:t>mengindikasikan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perlunya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penguatan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karakter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kerja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keras</w:t>
      </w:r>
      <w:proofErr w:type="spellEnd"/>
      <w:r w:rsidRPr="00252D95">
        <w:rPr>
          <w:rFonts w:ascii="Times New Roman" w:eastAsia="Times New Roman" w:hAnsi="Times New Roman" w:cs="Times New Roman"/>
          <w:sz w:val="20"/>
          <w:szCs w:val="20"/>
        </w:rPr>
        <w:t xml:space="preserve"> dan </w:t>
      </w:r>
      <w:proofErr w:type="spellStart"/>
      <w:r w:rsidRPr="00252D95">
        <w:rPr>
          <w:rFonts w:ascii="Times New Roman" w:eastAsia="Times New Roman" w:hAnsi="Times New Roman" w:cs="Times New Roman"/>
          <w:sz w:val="20"/>
          <w:szCs w:val="20"/>
        </w:rPr>
        <w:t>percaya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diri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Temuan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ini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memperkuat</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hasil</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penelitian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sebelumnya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mengenai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pentingnya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pembiasaan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nilai-nilai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karakter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dalam</w:t>
      </w:r>
      <w:proofErr w:type="spellEnd"/>
      <w:r w:rsidRPr="00252D95">
        <w:rPr>
          <w:rFonts w:ascii="Times New Roman" w:eastAsia="Times New Roman" w:hAnsi="Times New Roman" w:cs="Times New Roman"/>
          <w:sz w:val="20"/>
          <w:szCs w:val="20"/>
        </w:rPr>
        <w:t xml:space="preserve"> proses </w:t>
      </w:r>
      <w:proofErr w:type="spellStart"/>
      <w:r w:rsidRPr="00252D95">
        <w:rPr>
          <w:rFonts w:ascii="Times New Roman" w:eastAsia="Times New Roman" w:hAnsi="Times New Roman" w:cs="Times New Roman"/>
          <w:sz w:val="20"/>
          <w:szCs w:val="20"/>
        </w:rPr>
        <w:t>pembelajaran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Secara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keseluruhan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profil</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kebiasaan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belajar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matematika</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dapat</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dijadikan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indikator</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untuk</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menilai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efektivitas</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pendidikan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karakter</w:t>
      </w:r>
      <w:proofErr w:type="spellEnd"/>
      <w:r w:rsidRPr="00252D95">
        <w:rPr>
          <w:rFonts w:ascii="Times New Roman" w:eastAsia="Times New Roman" w:hAnsi="Times New Roman" w:cs="Times New Roman"/>
          <w:sz w:val="20"/>
          <w:szCs w:val="20"/>
        </w:rPr>
        <w:t xml:space="preserve">, dan guru </w:t>
      </w:r>
      <w:proofErr w:type="spellStart"/>
      <w:r w:rsidRPr="00252D95">
        <w:rPr>
          <w:rFonts w:ascii="Times New Roman" w:eastAsia="Times New Roman" w:hAnsi="Times New Roman" w:cs="Times New Roman"/>
          <w:sz w:val="20"/>
          <w:szCs w:val="20"/>
        </w:rPr>
        <w:t>memiliki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peran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sentral</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dalam</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mengintegrasikan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nilai-nilai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tersebut</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melalui</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keteladanan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pembiasaan</w:t>
      </w:r>
      <w:proofErr w:type="spellEnd"/>
      <w:r w:rsidRPr="00252D95">
        <w:rPr>
          <w:rFonts w:ascii="Times New Roman" w:eastAsia="Times New Roman" w:hAnsi="Times New Roman" w:cs="Times New Roman"/>
          <w:sz w:val="20"/>
          <w:szCs w:val="20"/>
        </w:rPr>
        <w:t xml:space="preserve">, dan </w:t>
      </w:r>
      <w:proofErr w:type="spellStart"/>
      <w:r w:rsidRPr="00252D95">
        <w:rPr>
          <w:rFonts w:ascii="Times New Roman" w:eastAsia="Times New Roman" w:hAnsi="Times New Roman" w:cs="Times New Roman"/>
          <w:sz w:val="20"/>
          <w:szCs w:val="20"/>
        </w:rPr>
        <w:t>pembelajaran</w:t>
      </w:r>
      <w:proofErr w:type="spellEnd"/>
      <w:r w:rsidRPr="00252D95">
        <w:rPr>
          <w:rFonts w:ascii="Times New Roman" w:eastAsia="Times New Roman" w:hAnsi="Times New Roman" w:cs="Times New Roman"/>
          <w:sz w:val="20"/>
          <w:szCs w:val="20"/>
        </w:rPr>
        <w:t xml:space="preserve"> </w:t>
      </w:r>
      <w:proofErr w:type="spellStart"/>
      <w:r w:rsidRPr="00252D95">
        <w:rPr>
          <w:rFonts w:ascii="Times New Roman" w:eastAsia="Times New Roman" w:hAnsi="Times New Roman" w:cs="Times New Roman"/>
          <w:sz w:val="20"/>
          <w:szCs w:val="20"/>
        </w:rPr>
        <w:t>reflektif</w:t>
      </w:r>
      <w:proofErr w:type="spellEnd"/>
      <w:r>
        <w:rPr>
          <w:rFonts w:ascii="Times New Roman" w:eastAsia="Times New Roman" w:hAnsi="Times New Roman" w:cs="Times New Roman"/>
        </w:rPr>
        <w:t xml:space="preserve">. </w:t>
      </w:r>
    </w:p>
    <w:p w14:paraId="06F8F287" w14:textId="77777777" w:rsidR="007A45A2" w:rsidRDefault="007A45A2">
      <w:pPr>
        <w:widowControl w:val="0"/>
        <w:pBdr>
          <w:top w:val="nil"/>
          <w:left w:val="nil"/>
          <w:bottom w:val="nil"/>
          <w:right w:val="nil"/>
          <w:between w:val="nil"/>
        </w:pBdr>
        <w:spacing w:line="230" w:lineRule="auto"/>
        <w:ind w:left="40" w:right="262" w:hanging="21"/>
        <w:jc w:val="both"/>
        <w:rPr>
          <w:rFonts w:ascii="Times New Roman" w:eastAsia="Times New Roman" w:hAnsi="Times New Roman" w:cs="Times New Roman"/>
        </w:rPr>
      </w:pPr>
    </w:p>
    <w:p w14:paraId="177CDF31" w14:textId="3CE14F2A" w:rsidR="007A45A2" w:rsidRPr="006B1021" w:rsidRDefault="00000000">
      <w:pPr>
        <w:widowControl w:val="0"/>
        <w:pBdr>
          <w:top w:val="nil"/>
          <w:left w:val="nil"/>
          <w:bottom w:val="nil"/>
          <w:right w:val="nil"/>
          <w:between w:val="nil"/>
        </w:pBdr>
        <w:spacing w:line="230" w:lineRule="auto"/>
        <w:ind w:left="40" w:right="262" w:hanging="21"/>
        <w:jc w:val="both"/>
        <w:rPr>
          <w:rFonts w:ascii="Times New Roman" w:eastAsia="Times New Roman" w:hAnsi="Times New Roman" w:cs="Times New Roman"/>
          <w:color w:val="000000"/>
          <w:sz w:val="20"/>
          <w:szCs w:val="20"/>
        </w:rPr>
      </w:pPr>
      <w:r w:rsidRPr="006B1021">
        <w:rPr>
          <w:rFonts w:ascii="Times New Roman" w:eastAsia="Times New Roman" w:hAnsi="Times New Roman" w:cs="Times New Roman"/>
          <w:color w:val="000000"/>
          <w:sz w:val="20"/>
          <w:szCs w:val="20"/>
        </w:rPr>
        <w:t xml:space="preserve">Keyword: </w:t>
      </w:r>
      <w:proofErr w:type="spellStart"/>
      <w:r w:rsidR="00252D95" w:rsidRPr="00252D95">
        <w:rPr>
          <w:rFonts w:ascii="Times New Roman" w:eastAsia="Times New Roman" w:hAnsi="Times New Roman" w:cs="Times New Roman"/>
          <w:sz w:val="20"/>
          <w:szCs w:val="20"/>
        </w:rPr>
        <w:t>Kebiasaan</w:t>
      </w:r>
      <w:proofErr w:type="spellEnd"/>
      <w:r w:rsidR="00252D95" w:rsidRPr="00252D95">
        <w:rPr>
          <w:rFonts w:ascii="Times New Roman" w:eastAsia="Times New Roman" w:hAnsi="Times New Roman" w:cs="Times New Roman"/>
          <w:sz w:val="20"/>
          <w:szCs w:val="20"/>
        </w:rPr>
        <w:t xml:space="preserve"> </w:t>
      </w:r>
      <w:proofErr w:type="spellStart"/>
      <w:r w:rsidR="00252D95" w:rsidRPr="00252D95">
        <w:rPr>
          <w:rFonts w:ascii="Times New Roman" w:eastAsia="Times New Roman" w:hAnsi="Times New Roman" w:cs="Times New Roman"/>
          <w:sz w:val="20"/>
          <w:szCs w:val="20"/>
        </w:rPr>
        <w:t>Belajar</w:t>
      </w:r>
      <w:proofErr w:type="spellEnd"/>
      <w:r w:rsidR="00252D95" w:rsidRPr="00252D95">
        <w:rPr>
          <w:rFonts w:ascii="Times New Roman" w:eastAsia="Times New Roman" w:hAnsi="Times New Roman" w:cs="Times New Roman"/>
          <w:sz w:val="20"/>
          <w:szCs w:val="20"/>
        </w:rPr>
        <w:t xml:space="preserve">, Pendidikan </w:t>
      </w:r>
      <w:proofErr w:type="spellStart"/>
      <w:r w:rsidR="00252D95" w:rsidRPr="00252D95">
        <w:rPr>
          <w:rFonts w:ascii="Times New Roman" w:eastAsia="Times New Roman" w:hAnsi="Times New Roman" w:cs="Times New Roman"/>
          <w:sz w:val="20"/>
          <w:szCs w:val="20"/>
        </w:rPr>
        <w:t>Karakter</w:t>
      </w:r>
      <w:proofErr w:type="spellEnd"/>
      <w:r w:rsidR="00252D95" w:rsidRPr="00252D95">
        <w:rPr>
          <w:rFonts w:ascii="Times New Roman" w:eastAsia="Times New Roman" w:hAnsi="Times New Roman" w:cs="Times New Roman"/>
          <w:sz w:val="20"/>
          <w:szCs w:val="20"/>
        </w:rPr>
        <w:t xml:space="preserve">, </w:t>
      </w:r>
      <w:proofErr w:type="spellStart"/>
      <w:r w:rsidR="00252D95" w:rsidRPr="00252D95">
        <w:rPr>
          <w:rFonts w:ascii="Times New Roman" w:eastAsia="Times New Roman" w:hAnsi="Times New Roman" w:cs="Times New Roman"/>
          <w:sz w:val="20"/>
          <w:szCs w:val="20"/>
        </w:rPr>
        <w:t>Matematika</w:t>
      </w:r>
      <w:proofErr w:type="spellEnd"/>
      <w:r w:rsidR="00252D95" w:rsidRPr="00252D95">
        <w:rPr>
          <w:rFonts w:ascii="Times New Roman" w:eastAsia="Times New Roman" w:hAnsi="Times New Roman" w:cs="Times New Roman"/>
          <w:sz w:val="20"/>
          <w:szCs w:val="20"/>
        </w:rPr>
        <w:t xml:space="preserve">, </w:t>
      </w:r>
      <w:proofErr w:type="spellStart"/>
      <w:r w:rsidR="00252D95" w:rsidRPr="00252D95">
        <w:rPr>
          <w:rFonts w:ascii="Times New Roman" w:eastAsia="Times New Roman" w:hAnsi="Times New Roman" w:cs="Times New Roman"/>
          <w:sz w:val="20"/>
          <w:szCs w:val="20"/>
        </w:rPr>
        <w:t>Tanggung</w:t>
      </w:r>
      <w:proofErr w:type="spellEnd"/>
      <w:r w:rsidR="00252D95" w:rsidRPr="00252D95">
        <w:rPr>
          <w:rFonts w:ascii="Times New Roman" w:eastAsia="Times New Roman" w:hAnsi="Times New Roman" w:cs="Times New Roman"/>
          <w:sz w:val="20"/>
          <w:szCs w:val="20"/>
        </w:rPr>
        <w:t xml:space="preserve"> Jawab</w:t>
      </w:r>
    </w:p>
    <w:p w14:paraId="2C8B0C7B" w14:textId="77777777" w:rsidR="007A45A2" w:rsidRDefault="00000000">
      <w:pPr>
        <w:widowControl w:val="0"/>
        <w:pBdr>
          <w:top w:val="nil"/>
          <w:left w:val="nil"/>
          <w:bottom w:val="nil"/>
          <w:right w:val="nil"/>
          <w:between w:val="nil"/>
        </w:pBdr>
        <w:spacing w:before="498" w:line="240" w:lineRule="auto"/>
        <w:ind w:left="400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Abstract </w:t>
      </w:r>
    </w:p>
    <w:p w14:paraId="6D6A8E91" w14:textId="310E08C5" w:rsidR="007A45A2" w:rsidRPr="006B1021" w:rsidRDefault="00252D95">
      <w:pPr>
        <w:widowControl w:val="0"/>
        <w:pBdr>
          <w:top w:val="nil"/>
          <w:left w:val="nil"/>
          <w:bottom w:val="nil"/>
          <w:right w:val="nil"/>
          <w:between w:val="nil"/>
        </w:pBdr>
        <w:spacing w:line="228" w:lineRule="auto"/>
        <w:ind w:right="260" w:firstLine="5"/>
        <w:jc w:val="both"/>
        <w:rPr>
          <w:rFonts w:ascii="Times New Roman" w:eastAsia="Times New Roman" w:hAnsi="Times New Roman" w:cs="Times New Roman"/>
          <w:i/>
          <w:color w:val="000000"/>
          <w:sz w:val="20"/>
          <w:szCs w:val="20"/>
        </w:rPr>
      </w:pPr>
      <w:r w:rsidRPr="00252D95">
        <w:rPr>
          <w:rFonts w:ascii="Times New Roman" w:eastAsia="Times New Roman" w:hAnsi="Times New Roman" w:cs="Times New Roman"/>
          <w:i/>
          <w:sz w:val="20"/>
          <w:szCs w:val="20"/>
        </w:rPr>
        <w:t xml:space="preserve">This study aims to </w:t>
      </w:r>
      <w:proofErr w:type="spellStart"/>
      <w:r w:rsidRPr="00252D95">
        <w:rPr>
          <w:rFonts w:ascii="Times New Roman" w:eastAsia="Times New Roman" w:hAnsi="Times New Roman" w:cs="Times New Roman"/>
          <w:i/>
          <w:sz w:val="20"/>
          <w:szCs w:val="20"/>
        </w:rPr>
        <w:t>analyze</w:t>
      </w:r>
      <w:proofErr w:type="spellEnd"/>
      <w:r w:rsidRPr="00252D95">
        <w:rPr>
          <w:rFonts w:ascii="Times New Roman" w:eastAsia="Times New Roman" w:hAnsi="Times New Roman" w:cs="Times New Roman"/>
          <w:i/>
          <w:sz w:val="20"/>
          <w:szCs w:val="20"/>
        </w:rPr>
        <w:t xml:space="preserve"> students’ mathematics learning habits as a reflection of the implementation of character education in schools. A descriptive quantitative method was employed using a questionnaire instrument to measure several character-related aspects, including responsibility, discipline, honesty, and initiative in learning mathematics. The results show that the responsibility aspect received the highest score (4.21), indicating that students generally complete their tasks independently and on time. Discipline (3.88) and honesty (3.67) were also rated as good, although some students still exhibited inconsistent learning </w:t>
      </w:r>
      <w:proofErr w:type="spellStart"/>
      <w:r w:rsidRPr="00252D95">
        <w:rPr>
          <w:rFonts w:ascii="Times New Roman" w:eastAsia="Times New Roman" w:hAnsi="Times New Roman" w:cs="Times New Roman"/>
          <w:i/>
          <w:sz w:val="20"/>
          <w:szCs w:val="20"/>
        </w:rPr>
        <w:t>behaviors</w:t>
      </w:r>
      <w:proofErr w:type="spellEnd"/>
      <w:r w:rsidRPr="00252D95">
        <w:rPr>
          <w:rFonts w:ascii="Times New Roman" w:eastAsia="Times New Roman" w:hAnsi="Times New Roman" w:cs="Times New Roman"/>
          <w:i/>
          <w:sz w:val="20"/>
          <w:szCs w:val="20"/>
        </w:rPr>
        <w:t xml:space="preserve">. The lowest score was found in the initiative to ask questions or understand material (3.45), suggesting the need to strengthen work ethic and self-confidence in learning, especially when dealing with difficult mathematical concepts. These findings support previous studies that emphasize the importance of cultivating character values through daily learning practices. Overall, the mathematics learning habits profile can serve as a strong indicator for assessing the effectiveness of character education, with teachers playing a central role through </w:t>
      </w:r>
      <w:proofErr w:type="spellStart"/>
      <w:r w:rsidRPr="00252D95">
        <w:rPr>
          <w:rFonts w:ascii="Times New Roman" w:eastAsia="Times New Roman" w:hAnsi="Times New Roman" w:cs="Times New Roman"/>
          <w:i/>
          <w:sz w:val="20"/>
          <w:szCs w:val="20"/>
        </w:rPr>
        <w:t>modeling</w:t>
      </w:r>
      <w:proofErr w:type="spellEnd"/>
      <w:r w:rsidRPr="00252D95">
        <w:rPr>
          <w:rFonts w:ascii="Times New Roman" w:eastAsia="Times New Roman" w:hAnsi="Times New Roman" w:cs="Times New Roman"/>
          <w:i/>
          <w:sz w:val="20"/>
          <w:szCs w:val="20"/>
        </w:rPr>
        <w:t>, habituation, and reflective instruction</w:t>
      </w:r>
      <w:r w:rsidRPr="006B1021">
        <w:rPr>
          <w:rFonts w:ascii="Times New Roman" w:eastAsia="Times New Roman" w:hAnsi="Times New Roman" w:cs="Times New Roman"/>
          <w:i/>
          <w:sz w:val="20"/>
          <w:szCs w:val="20"/>
        </w:rPr>
        <w:t>.</w:t>
      </w:r>
      <w:r w:rsidRPr="006B1021">
        <w:rPr>
          <w:rFonts w:ascii="Times New Roman" w:eastAsia="Times New Roman" w:hAnsi="Times New Roman" w:cs="Times New Roman"/>
          <w:i/>
          <w:color w:val="000000"/>
          <w:sz w:val="20"/>
          <w:szCs w:val="20"/>
        </w:rPr>
        <w:t xml:space="preserve"> </w:t>
      </w:r>
    </w:p>
    <w:p w14:paraId="2BEC403F" w14:textId="69FB2169" w:rsidR="007A45A2" w:rsidRPr="006B1021" w:rsidRDefault="00000000">
      <w:pPr>
        <w:widowControl w:val="0"/>
        <w:pBdr>
          <w:top w:val="nil"/>
          <w:left w:val="nil"/>
          <w:bottom w:val="nil"/>
          <w:right w:val="nil"/>
          <w:between w:val="nil"/>
        </w:pBdr>
        <w:spacing w:before="264" w:line="240" w:lineRule="auto"/>
        <w:ind w:left="21"/>
        <w:rPr>
          <w:rFonts w:ascii="Times New Roman" w:eastAsia="Times New Roman" w:hAnsi="Times New Roman" w:cs="Times New Roman"/>
          <w:sz w:val="20"/>
          <w:szCs w:val="20"/>
        </w:rPr>
      </w:pPr>
      <w:r w:rsidRPr="006B1021">
        <w:rPr>
          <w:rFonts w:ascii="Times New Roman" w:eastAsia="Times New Roman" w:hAnsi="Times New Roman" w:cs="Times New Roman"/>
          <w:color w:val="000000"/>
          <w:sz w:val="20"/>
          <w:szCs w:val="20"/>
        </w:rPr>
        <w:t xml:space="preserve">Keyword: </w:t>
      </w:r>
      <w:r w:rsidR="00252D95" w:rsidRPr="00252D95">
        <w:rPr>
          <w:rFonts w:ascii="Times New Roman" w:eastAsia="Times New Roman" w:hAnsi="Times New Roman" w:cs="Times New Roman"/>
          <w:sz w:val="20"/>
          <w:szCs w:val="20"/>
        </w:rPr>
        <w:t>Learning Habits, Character Education, Mathematics, Student Responsibility</w:t>
      </w:r>
      <w:r w:rsidRPr="006B1021">
        <w:rPr>
          <w:rFonts w:ascii="Times New Roman" w:eastAsia="Times New Roman" w:hAnsi="Times New Roman" w:cs="Times New Roman"/>
          <w:sz w:val="20"/>
          <w:szCs w:val="20"/>
        </w:rPr>
        <w:t xml:space="preserve"> </w:t>
      </w:r>
    </w:p>
    <w:p w14:paraId="21697633" w14:textId="0CEB54F6" w:rsidR="007A45A2" w:rsidRPr="00B15EF8" w:rsidRDefault="009C467C">
      <w:pPr>
        <w:widowControl w:val="0"/>
        <w:pBdr>
          <w:top w:val="nil"/>
          <w:left w:val="nil"/>
          <w:bottom w:val="nil"/>
          <w:right w:val="nil"/>
          <w:between w:val="nil"/>
        </w:pBdr>
        <w:spacing w:before="264" w:line="240" w:lineRule="auto"/>
        <w:ind w:left="21"/>
        <w:rPr>
          <w:rFonts w:asciiTheme="majorBidi" w:eastAsia="Times New Roman" w:hAnsiTheme="majorBidi" w:cstheme="majorBidi"/>
          <w:b/>
          <w:color w:val="000000"/>
        </w:rPr>
      </w:pPr>
      <w:r w:rsidRPr="009C467C">
        <w:rPr>
          <w:rFonts w:asciiTheme="majorBidi" w:eastAsia="Times New Roman" w:hAnsiTheme="majorBidi" w:cstheme="majorBidi"/>
          <w:b/>
        </w:rPr>
        <w:t>INTRODUCTION</w:t>
      </w:r>
    </w:p>
    <w:p w14:paraId="65A8852D" w14:textId="77777777" w:rsidR="00252D95" w:rsidRPr="00252D95" w:rsidRDefault="00252D95" w:rsidP="00AB4427">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252D95">
        <w:rPr>
          <w:rFonts w:asciiTheme="majorBidi" w:eastAsia="Times New Roman" w:hAnsiTheme="majorBidi" w:cstheme="majorBidi"/>
        </w:rPr>
        <w:t xml:space="preserve">The educational process in Indonesia, particularly within the context of the Merdeka Curriculum, requires attention not only to pupils’ academic achievement but also to character development. Character education in schools is a vital aspect that must be integrated with academic learning, including mathematics. Mathematics demands consistency, logic and responsibility—elements of character that need to be strengthened in pupils. According to research conducted by </w:t>
      </w:r>
      <w:proofErr w:type="spellStart"/>
      <w:r w:rsidRPr="00252D95">
        <w:rPr>
          <w:rFonts w:asciiTheme="majorBidi" w:eastAsia="Times New Roman" w:hAnsiTheme="majorBidi" w:cstheme="majorBidi"/>
        </w:rPr>
        <w:t>Novianti</w:t>
      </w:r>
      <w:proofErr w:type="spellEnd"/>
      <w:r w:rsidRPr="00252D95">
        <w:rPr>
          <w:rFonts w:asciiTheme="majorBidi" w:eastAsia="Times New Roman" w:hAnsiTheme="majorBidi" w:cstheme="majorBidi"/>
        </w:rPr>
        <w:t>, character education can be integrated into the entire learning process, including mathematics, and teachers play a vital role as facilitators in fostering character (</w:t>
      </w:r>
      <w:proofErr w:type="spellStart"/>
      <w:r w:rsidRPr="00252D95">
        <w:rPr>
          <w:rFonts w:asciiTheme="majorBidi" w:eastAsia="Times New Roman" w:hAnsiTheme="majorBidi" w:cstheme="majorBidi"/>
        </w:rPr>
        <w:t>Novianti</w:t>
      </w:r>
      <w:proofErr w:type="spellEnd"/>
      <w:r w:rsidRPr="00252D95">
        <w:rPr>
          <w:rFonts w:asciiTheme="majorBidi" w:eastAsia="Times New Roman" w:hAnsiTheme="majorBidi" w:cstheme="majorBidi"/>
        </w:rPr>
        <w:t>, 2021).</w:t>
      </w:r>
    </w:p>
    <w:p w14:paraId="0D09EFC9" w14:textId="77777777" w:rsidR="00252D95" w:rsidRPr="00252D95" w:rsidRDefault="00252D95" w:rsidP="00AB4427">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252D95">
        <w:rPr>
          <w:rFonts w:asciiTheme="majorBidi" w:eastAsia="Times New Roman" w:hAnsiTheme="majorBidi" w:cstheme="majorBidi"/>
        </w:rPr>
        <w:t xml:space="preserve">The process of learning mathematics is generally considered challenging and difficult by many students. However, these challenges actually present an opportunity for students to practise discipline, honesty, hard work, perseverance and responsibility. Solving mathematical problems requires systematic thinking and patience. Thus, mathematical learning habits—including how students manage their study time, their attitude towards difficulties, and their initiative in asking questions—reflect how </w:t>
      </w:r>
      <w:r w:rsidRPr="00252D95">
        <w:rPr>
          <w:rFonts w:asciiTheme="majorBidi" w:eastAsia="Times New Roman" w:hAnsiTheme="majorBidi" w:cstheme="majorBidi"/>
        </w:rPr>
        <w:lastRenderedPageBreak/>
        <w:t>character values can be internalised within them. Research by Dahlan et al. highlights the importance of teachers’ pedagogical competence in internalising character values within mathematics teaching (Dahlan et al., 2019).</w:t>
      </w:r>
    </w:p>
    <w:p w14:paraId="51409CBA" w14:textId="77777777" w:rsidR="00252D95" w:rsidRPr="00252D95" w:rsidRDefault="00252D95" w:rsidP="00AB4427">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252D95">
        <w:rPr>
          <w:rFonts w:asciiTheme="majorBidi" w:eastAsia="Times New Roman" w:hAnsiTheme="majorBidi" w:cstheme="majorBidi"/>
        </w:rPr>
        <w:t xml:space="preserve">In </w:t>
      </w:r>
      <w:proofErr w:type="spellStart"/>
      <w:r w:rsidRPr="00252D95">
        <w:rPr>
          <w:rFonts w:asciiTheme="majorBidi" w:eastAsia="Times New Roman" w:hAnsiTheme="majorBidi" w:cstheme="majorBidi"/>
        </w:rPr>
        <w:t>Bangkinang</w:t>
      </w:r>
      <w:proofErr w:type="spellEnd"/>
      <w:r w:rsidRPr="00252D95">
        <w:rPr>
          <w:rFonts w:asciiTheme="majorBidi" w:eastAsia="Times New Roman" w:hAnsiTheme="majorBidi" w:cstheme="majorBidi"/>
        </w:rPr>
        <w:t xml:space="preserve">, the implementation of the Merdeka Curriculum is expected to create an environment that supports the development of pupils’ character through good study habits. This study emphasises the importance of the teacher’s role in guiding pupils to develop positive mathematics study habits. Synergy between schools and parents has also proven crucial in supporting character education. Research by </w:t>
      </w:r>
      <w:proofErr w:type="spellStart"/>
      <w:r w:rsidRPr="00252D95">
        <w:rPr>
          <w:rFonts w:asciiTheme="majorBidi" w:eastAsia="Times New Roman" w:hAnsiTheme="majorBidi" w:cstheme="majorBidi"/>
        </w:rPr>
        <w:t>Feranina</w:t>
      </w:r>
      <w:proofErr w:type="spellEnd"/>
      <w:r w:rsidRPr="00252D95">
        <w:rPr>
          <w:rFonts w:asciiTheme="majorBidi" w:eastAsia="Times New Roman" w:hAnsiTheme="majorBidi" w:cstheme="majorBidi"/>
        </w:rPr>
        <w:t xml:space="preserve"> and Komala shows that the involvement of parents and teachers in emphasising character values will significantly influence students’ character development (</w:t>
      </w:r>
      <w:proofErr w:type="spellStart"/>
      <w:r w:rsidRPr="00252D95">
        <w:rPr>
          <w:rFonts w:asciiTheme="majorBidi" w:eastAsia="Times New Roman" w:hAnsiTheme="majorBidi" w:cstheme="majorBidi"/>
        </w:rPr>
        <w:t>Feranina</w:t>
      </w:r>
      <w:proofErr w:type="spellEnd"/>
      <w:r w:rsidRPr="00252D95">
        <w:rPr>
          <w:rFonts w:asciiTheme="majorBidi" w:eastAsia="Times New Roman" w:hAnsiTheme="majorBidi" w:cstheme="majorBidi"/>
        </w:rPr>
        <w:t xml:space="preserve"> &amp; Komala, 2022).</w:t>
      </w:r>
    </w:p>
    <w:p w14:paraId="3E47E9F6" w14:textId="0DDCA678" w:rsidR="007A45A2" w:rsidRDefault="00252D95" w:rsidP="00252D95">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252D95">
        <w:rPr>
          <w:rFonts w:asciiTheme="majorBidi" w:eastAsia="Times New Roman" w:hAnsiTheme="majorBidi" w:cstheme="majorBidi"/>
        </w:rPr>
        <w:t xml:space="preserve">Through an analysis of pupils’ learning habits in mathematics, schools can not only evaluate the effectiveness of the teaching strategies implemented, but also devise more effective character-building programmes. It is hoped that this research will not only be useful for curriculum development but will also provide new insights into the relationship between learning habits and character education internalised within students. </w:t>
      </w:r>
      <w:proofErr w:type="gramStart"/>
      <w:r w:rsidRPr="00252D95">
        <w:rPr>
          <w:rFonts w:asciiTheme="majorBidi" w:eastAsia="Times New Roman" w:hAnsiTheme="majorBidi" w:cstheme="majorBidi"/>
        </w:rPr>
        <w:t>Specifically</w:t>
      </w:r>
      <w:proofErr w:type="gramEnd"/>
      <w:r w:rsidRPr="00252D95">
        <w:rPr>
          <w:rFonts w:asciiTheme="majorBidi" w:eastAsia="Times New Roman" w:hAnsiTheme="majorBidi" w:cstheme="majorBidi"/>
        </w:rPr>
        <w:t xml:space="preserve"> for </w:t>
      </w:r>
      <w:proofErr w:type="spellStart"/>
      <w:r w:rsidRPr="00252D95">
        <w:rPr>
          <w:rFonts w:asciiTheme="majorBidi" w:eastAsia="Times New Roman" w:hAnsiTheme="majorBidi" w:cstheme="majorBidi"/>
        </w:rPr>
        <w:t>Bangkinang</w:t>
      </w:r>
      <w:proofErr w:type="spellEnd"/>
      <w:r w:rsidRPr="00252D95">
        <w:rPr>
          <w:rFonts w:asciiTheme="majorBidi" w:eastAsia="Times New Roman" w:hAnsiTheme="majorBidi" w:cstheme="majorBidi"/>
        </w:rPr>
        <w:t>, it is important for secondary schools to create an environment that is responsive to students’ learning habits so as to produce a generation that is not only academically intelligent but also possesses strong and good character, in line with the expectations of the Merdeka Curriculum.</w:t>
      </w:r>
    </w:p>
    <w:p w14:paraId="04AA9686" w14:textId="77777777" w:rsidR="0066117B" w:rsidRDefault="0066117B" w:rsidP="009C467C">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p>
    <w:p w14:paraId="31D3C073" w14:textId="77777777" w:rsidR="0066117B" w:rsidRPr="0066117B" w:rsidRDefault="0066117B" w:rsidP="0066117B">
      <w:pPr>
        <w:widowControl w:val="0"/>
        <w:pBdr>
          <w:top w:val="nil"/>
          <w:left w:val="nil"/>
          <w:bottom w:val="nil"/>
          <w:right w:val="nil"/>
          <w:between w:val="nil"/>
        </w:pBdr>
        <w:spacing w:before="1" w:line="230" w:lineRule="auto"/>
        <w:ind w:right="51"/>
        <w:rPr>
          <w:rFonts w:asciiTheme="majorBidi" w:eastAsia="Times New Roman" w:hAnsiTheme="majorBidi" w:cstheme="majorBidi"/>
          <w:b/>
          <w:bCs/>
        </w:rPr>
      </w:pPr>
      <w:r w:rsidRPr="0066117B">
        <w:rPr>
          <w:rFonts w:asciiTheme="majorBidi" w:eastAsia="Times New Roman" w:hAnsiTheme="majorBidi" w:cstheme="majorBidi"/>
          <w:b/>
          <w:bCs/>
        </w:rPr>
        <w:t>Literature Review</w:t>
      </w:r>
    </w:p>
    <w:p w14:paraId="569DB7DD" w14:textId="25569302" w:rsidR="0066117B" w:rsidRP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Mathematical problem-solving is a fundamental competency that students must develop, particularly at the lower secondary level such as Year 7. According to George Pólya, problem-solving involves understanding the problem, devising a plan, carrying out the plan, and reviewing the solution. These stages highlight that problem-solving is not merely procedural but requires critical and analytical thinking. However, many students struggle with algebraic problem-solving due to limited conceptual understanding and insufficient practice (Kilpatrick et al., 2001).</w:t>
      </w:r>
      <w:r>
        <w:rPr>
          <w:rFonts w:asciiTheme="majorBidi" w:eastAsia="Times New Roman" w:hAnsiTheme="majorBidi" w:cstheme="majorBidi"/>
        </w:rPr>
        <w:t xml:space="preserve"> </w:t>
      </w:r>
      <w:r w:rsidRPr="0066117B">
        <w:rPr>
          <w:rFonts w:asciiTheme="majorBidi" w:eastAsia="Times New Roman" w:hAnsiTheme="majorBidi" w:cstheme="majorBidi"/>
        </w:rPr>
        <w:t>Algebra serves as a foundational domain in mathematics, bridging arithmetic and higher-level mathematical thinking. Students often encounter difficulties in algebra due to abstract symbols and operations that require strong prior knowledge (Kieran, 2007). Therefore, effective instructional strategies are necessary to enhance students’ algebraic reasoning and problem-solving abilities.</w:t>
      </w:r>
    </w:p>
    <w:p w14:paraId="0017D91B" w14:textId="4788075B" w:rsidR="0066117B" w:rsidRPr="0066117B" w:rsidRDefault="0066117B" w:rsidP="00252D95">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 xml:space="preserve">One instructional approach that has gained attention is the drill and practice model. Drill and practice </w:t>
      </w:r>
      <w:proofErr w:type="gramStart"/>
      <w:r w:rsidRPr="0066117B">
        <w:rPr>
          <w:rFonts w:asciiTheme="majorBidi" w:eastAsia="Times New Roman" w:hAnsiTheme="majorBidi" w:cstheme="majorBidi"/>
        </w:rPr>
        <w:t>refers</w:t>
      </w:r>
      <w:proofErr w:type="gramEnd"/>
      <w:r w:rsidR="00252D95">
        <w:rPr>
          <w:rFonts w:asciiTheme="majorBidi" w:eastAsia="Times New Roman" w:hAnsiTheme="majorBidi" w:cstheme="majorBidi"/>
        </w:rPr>
        <w:t xml:space="preserve"> </w:t>
      </w:r>
      <w:r w:rsidRPr="0066117B">
        <w:rPr>
          <w:rFonts w:asciiTheme="majorBidi" w:eastAsia="Times New Roman" w:hAnsiTheme="majorBidi" w:cstheme="majorBidi"/>
        </w:rPr>
        <w:t xml:space="preserve">to repeated exposure to similar types of problems aimed at reinforcing procedural fluency and accuracy (Skinner, 1953). This approach aligns with </w:t>
      </w:r>
      <w:proofErr w:type="spellStart"/>
      <w:r w:rsidRPr="0066117B">
        <w:rPr>
          <w:rFonts w:asciiTheme="majorBidi" w:eastAsia="Times New Roman" w:hAnsiTheme="majorBidi" w:cstheme="majorBidi"/>
        </w:rPr>
        <w:t>behaviorist</w:t>
      </w:r>
      <w:proofErr w:type="spellEnd"/>
      <w:r w:rsidRPr="0066117B">
        <w:rPr>
          <w:rFonts w:asciiTheme="majorBidi" w:eastAsia="Times New Roman" w:hAnsiTheme="majorBidi" w:cstheme="majorBidi"/>
        </w:rPr>
        <w:t xml:space="preserve"> learning theory, which emphasizes repetition and reinforcement to strengthen learning outcomes. While often criticized for being rote-based, recent studies suggest that when combined with meaningful tasks, drill and practice can significantly improve students’ computational skills and problem-solving performance (</w:t>
      </w:r>
      <w:proofErr w:type="spellStart"/>
      <w:r w:rsidRPr="0066117B">
        <w:rPr>
          <w:rFonts w:asciiTheme="majorBidi" w:eastAsia="Times New Roman" w:hAnsiTheme="majorBidi" w:cstheme="majorBidi"/>
        </w:rPr>
        <w:t>Rosenshine</w:t>
      </w:r>
      <w:proofErr w:type="spellEnd"/>
      <w:r w:rsidRPr="0066117B">
        <w:rPr>
          <w:rFonts w:asciiTheme="majorBidi" w:eastAsia="Times New Roman" w:hAnsiTheme="majorBidi" w:cstheme="majorBidi"/>
        </w:rPr>
        <w:t>, 2012).</w:t>
      </w:r>
      <w:r>
        <w:rPr>
          <w:rFonts w:asciiTheme="majorBidi" w:eastAsia="Times New Roman" w:hAnsiTheme="majorBidi" w:cstheme="majorBidi"/>
        </w:rPr>
        <w:t xml:space="preserve"> </w:t>
      </w:r>
      <w:r w:rsidRPr="0066117B">
        <w:rPr>
          <w:rFonts w:asciiTheme="majorBidi" w:eastAsia="Times New Roman" w:hAnsiTheme="majorBidi" w:cstheme="majorBidi"/>
        </w:rPr>
        <w:t>In the context of algebra learning, drill and practice can help students internalize key procedures such as solving linear equations, simplifying expressions, and applying algebraic rules. Repetition allows students to develop automaticity, which reduces cognitive load and enables them to focus on higher-order thinking processes during problem-solving (</w:t>
      </w:r>
      <w:proofErr w:type="spellStart"/>
      <w:r w:rsidRPr="0066117B">
        <w:rPr>
          <w:rFonts w:asciiTheme="majorBidi" w:eastAsia="Times New Roman" w:hAnsiTheme="majorBidi" w:cstheme="majorBidi"/>
        </w:rPr>
        <w:t>Sweller</w:t>
      </w:r>
      <w:proofErr w:type="spellEnd"/>
      <w:r w:rsidRPr="0066117B">
        <w:rPr>
          <w:rFonts w:asciiTheme="majorBidi" w:eastAsia="Times New Roman" w:hAnsiTheme="majorBidi" w:cstheme="majorBidi"/>
        </w:rPr>
        <w:t>, 1988). This is particularly important for Year 7 students who are transitioning from arithmetic to algebraic thinking.</w:t>
      </w:r>
    </w:p>
    <w:p w14:paraId="621976E0" w14:textId="38FDC951" w:rsidR="0066117B" w:rsidRP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 xml:space="preserve">Furthermore, integrating drill and practice with problem-solving activities can enhance both procedural and conceptual understanding. According to Hiebert and </w:t>
      </w:r>
      <w:proofErr w:type="spellStart"/>
      <w:r w:rsidRPr="0066117B">
        <w:rPr>
          <w:rFonts w:asciiTheme="majorBidi" w:eastAsia="Times New Roman" w:hAnsiTheme="majorBidi" w:cstheme="majorBidi"/>
        </w:rPr>
        <w:t>Grouws</w:t>
      </w:r>
      <w:proofErr w:type="spellEnd"/>
      <w:r w:rsidRPr="0066117B">
        <w:rPr>
          <w:rFonts w:asciiTheme="majorBidi" w:eastAsia="Times New Roman" w:hAnsiTheme="majorBidi" w:cstheme="majorBidi"/>
        </w:rPr>
        <w:t xml:space="preserve"> (2007), effective mathematics instruction should balance conceptual understanding and procedural fluency. Drill activities that are carefully designed with increasing complexity and contextual problems can support this balance and improve students’ engagement.</w:t>
      </w:r>
      <w:r>
        <w:rPr>
          <w:rFonts w:asciiTheme="majorBidi" w:eastAsia="Times New Roman" w:hAnsiTheme="majorBidi" w:cstheme="majorBidi"/>
        </w:rPr>
        <w:t xml:space="preserve"> </w:t>
      </w:r>
      <w:r w:rsidRPr="0066117B">
        <w:rPr>
          <w:rFonts w:asciiTheme="majorBidi" w:eastAsia="Times New Roman" w:hAnsiTheme="majorBidi" w:cstheme="majorBidi"/>
        </w:rPr>
        <w:t>Student motivation and self-efficacy also play a significant role in problem-solving success. Research by Bandura (1997) indicates that students with higher self-efficacy are more likely to persist in solving challenging problems. Drill and practice models, when implemented with immediate feedback, can boost students’ confidence as they experience repeated success (Schunk, 2012).</w:t>
      </w:r>
    </w:p>
    <w:p w14:paraId="3EDDA763" w14:textId="7B210AA7" w:rsidR="0066117B" w:rsidRP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Recent empirical studies have shown that the drill and practice model can effectively improve students’ mathematical problem-solving skills, especially when supported by technology-based platforms (Sari et al., 2021; Pratama &amp; Wulandari, 2022). These platforms often include interactive features, instant feedback, and adaptive difficulty levels, which further enhance learning outcomes.</w:t>
      </w:r>
    </w:p>
    <w:p w14:paraId="59D4AD21" w14:textId="586B69CA" w:rsid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In conclusion, the drill and practice model is a valuable instructional approach for improving Year 7 students’ algebraic problem-solving skills. When combined with conceptual understanding, feedback mechanisms, and engaging learning environments, this model can significantly enhance students’ mathematical competence. Future research should explore the integration of drill and practice with innovative pedagogical approaches to maximize its effectiveness.</w:t>
      </w:r>
    </w:p>
    <w:p w14:paraId="3453DB87" w14:textId="77777777" w:rsidR="00252D95" w:rsidRDefault="00252D95"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p>
    <w:p w14:paraId="3FA5E9D2" w14:textId="77777777" w:rsidR="00252D95" w:rsidRPr="00B15EF8" w:rsidRDefault="00252D95"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p>
    <w:p w14:paraId="67E7499F" w14:textId="77777777" w:rsidR="007A45A2" w:rsidRPr="00B15EF8" w:rsidRDefault="007A45A2">
      <w:pPr>
        <w:widowControl w:val="0"/>
        <w:pBdr>
          <w:top w:val="nil"/>
          <w:left w:val="nil"/>
          <w:bottom w:val="nil"/>
          <w:right w:val="nil"/>
          <w:between w:val="nil"/>
        </w:pBdr>
        <w:spacing w:before="1" w:line="230" w:lineRule="auto"/>
        <w:ind w:left="20" w:right="264" w:firstLine="566"/>
        <w:rPr>
          <w:rFonts w:asciiTheme="majorBidi" w:eastAsia="Times New Roman" w:hAnsiTheme="majorBidi" w:cstheme="majorBidi"/>
        </w:rPr>
      </w:pPr>
    </w:p>
    <w:p w14:paraId="39E37E9A" w14:textId="5076140B" w:rsidR="007A45A2" w:rsidRPr="00B15EF8" w:rsidRDefault="009C467C" w:rsidP="00B15EF8">
      <w:pPr>
        <w:widowControl w:val="0"/>
        <w:pBdr>
          <w:top w:val="nil"/>
          <w:left w:val="nil"/>
          <w:bottom w:val="nil"/>
          <w:right w:val="nil"/>
          <w:between w:val="nil"/>
        </w:pBdr>
        <w:spacing w:line="240" w:lineRule="auto"/>
        <w:rPr>
          <w:rFonts w:asciiTheme="majorBidi" w:eastAsia="Times New Roman" w:hAnsiTheme="majorBidi" w:cstheme="majorBidi"/>
          <w:b/>
          <w:color w:val="000000"/>
        </w:rPr>
      </w:pPr>
      <w:r w:rsidRPr="009C467C">
        <w:rPr>
          <w:rFonts w:asciiTheme="majorBidi" w:eastAsia="Times New Roman" w:hAnsiTheme="majorBidi" w:cstheme="majorBidi"/>
          <w:b/>
          <w:color w:val="000000"/>
        </w:rPr>
        <w:lastRenderedPageBreak/>
        <w:t>METHOD</w:t>
      </w:r>
    </w:p>
    <w:p w14:paraId="262C236E" w14:textId="01C8BD12" w:rsidR="009C467C" w:rsidRPr="009C467C" w:rsidRDefault="00252D95" w:rsidP="009C467C">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252D95">
        <w:rPr>
          <w:rFonts w:asciiTheme="majorBidi" w:eastAsia="Times New Roman" w:hAnsiTheme="majorBidi" w:cstheme="majorBidi"/>
        </w:rPr>
        <w:t>Through an analysis of pupils’ learning habits in mathematics, schools can not only evaluate the effectiveness of the teaching strategies implemented, but also devise more effective character-building programmes. It is hoped that this research will not only be useful for curriculum development but will also provide new insights into the relationship between learning habits and character education internalised within students.</w:t>
      </w:r>
      <w:r w:rsidR="00B6175C">
        <w:rPr>
          <w:rFonts w:asciiTheme="majorBidi" w:eastAsia="Times New Roman" w:hAnsiTheme="majorBidi" w:cstheme="majorBidi"/>
        </w:rPr>
        <w:t xml:space="preserve"> </w:t>
      </w:r>
      <w:r w:rsidRPr="00252D95">
        <w:rPr>
          <w:rFonts w:asciiTheme="majorBidi" w:eastAsia="Times New Roman" w:hAnsiTheme="majorBidi" w:cstheme="majorBidi"/>
        </w:rPr>
        <w:t xml:space="preserve">Specifically for </w:t>
      </w:r>
      <w:proofErr w:type="spellStart"/>
      <w:r w:rsidRPr="00252D95">
        <w:rPr>
          <w:rFonts w:asciiTheme="majorBidi" w:eastAsia="Times New Roman" w:hAnsiTheme="majorBidi" w:cstheme="majorBidi"/>
        </w:rPr>
        <w:t>Bangkinang</w:t>
      </w:r>
      <w:proofErr w:type="spellEnd"/>
      <w:r w:rsidRPr="00252D95">
        <w:rPr>
          <w:rFonts w:asciiTheme="majorBidi" w:eastAsia="Times New Roman" w:hAnsiTheme="majorBidi" w:cstheme="majorBidi"/>
        </w:rPr>
        <w:t>, it is important for secondary schools to create an environment that is responsive to students’ learning habits so as to produce a generation that is not only academically intelligent but also possesses strong and good character, in line with the expectations of the Merdeka Curriculum.</w:t>
      </w:r>
    </w:p>
    <w:p w14:paraId="5AE20A98" w14:textId="77777777" w:rsidR="00252D95" w:rsidRDefault="00252D95" w:rsidP="00252D95">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252D95">
        <w:rPr>
          <w:rFonts w:asciiTheme="majorBidi" w:eastAsia="Times New Roman" w:hAnsiTheme="majorBidi" w:cstheme="majorBidi"/>
        </w:rPr>
        <w:t xml:space="preserve">The research subjects consisted of students at a senior secondary school (SMA) in </w:t>
      </w:r>
      <w:proofErr w:type="spellStart"/>
      <w:r w:rsidRPr="00252D95">
        <w:rPr>
          <w:rFonts w:asciiTheme="majorBidi" w:eastAsia="Times New Roman" w:hAnsiTheme="majorBidi" w:cstheme="majorBidi"/>
        </w:rPr>
        <w:t>Bangkinang</w:t>
      </w:r>
      <w:proofErr w:type="spellEnd"/>
      <w:r w:rsidRPr="00252D95">
        <w:rPr>
          <w:rFonts w:asciiTheme="majorBidi" w:eastAsia="Times New Roman" w:hAnsiTheme="majorBidi" w:cstheme="majorBidi"/>
        </w:rPr>
        <w:t xml:space="preserve"> Kota, with selection criteria including students who had been studying mathematics for at least one semester and who exhibited diversity in their learning habits. Appropriate subject selection is key in quantitative research to ensure that the data obtained represents a larger population, as well as supporting valid and reliable analysis (</w:t>
      </w:r>
      <w:proofErr w:type="spellStart"/>
      <w:r w:rsidRPr="00252D95">
        <w:rPr>
          <w:rFonts w:asciiTheme="majorBidi" w:eastAsia="Times New Roman" w:hAnsiTheme="majorBidi" w:cstheme="majorBidi"/>
        </w:rPr>
        <w:t>Kurniawati</w:t>
      </w:r>
      <w:proofErr w:type="spellEnd"/>
      <w:r w:rsidRPr="00252D95">
        <w:rPr>
          <w:rFonts w:asciiTheme="majorBidi" w:eastAsia="Times New Roman" w:hAnsiTheme="majorBidi" w:cstheme="majorBidi"/>
        </w:rPr>
        <w:t xml:space="preserve"> &amp; Yulianti, 2022; </w:t>
      </w:r>
      <w:proofErr w:type="spellStart"/>
      <w:r w:rsidRPr="00252D95">
        <w:rPr>
          <w:rFonts w:asciiTheme="majorBidi" w:eastAsia="Times New Roman" w:hAnsiTheme="majorBidi" w:cstheme="majorBidi"/>
        </w:rPr>
        <w:t>Mukhamdanah</w:t>
      </w:r>
      <w:proofErr w:type="spellEnd"/>
      <w:r w:rsidRPr="00252D95">
        <w:rPr>
          <w:rFonts w:asciiTheme="majorBidi" w:eastAsia="Times New Roman" w:hAnsiTheme="majorBidi" w:cstheme="majorBidi"/>
        </w:rPr>
        <w:t xml:space="preserve"> &amp; </w:t>
      </w:r>
      <w:proofErr w:type="spellStart"/>
      <w:r w:rsidRPr="00252D95">
        <w:rPr>
          <w:rFonts w:asciiTheme="majorBidi" w:eastAsia="Times New Roman" w:hAnsiTheme="majorBidi" w:cstheme="majorBidi"/>
        </w:rPr>
        <w:t>Inayatusshalihah</w:t>
      </w:r>
      <w:proofErr w:type="spellEnd"/>
      <w:r w:rsidRPr="00252D95">
        <w:rPr>
          <w:rFonts w:asciiTheme="majorBidi" w:eastAsia="Times New Roman" w:hAnsiTheme="majorBidi" w:cstheme="majorBidi"/>
        </w:rPr>
        <w:t>, 2022); The main research instrument used in this study was a questionnaire comprising 28 statements. The statements in the questionnaire were formulated using a 1–4 Likert scale, reflecting the frequency level</w:t>
      </w:r>
      <w:r>
        <w:rPr>
          <w:rFonts w:asciiTheme="majorBidi" w:eastAsia="Times New Roman" w:hAnsiTheme="majorBidi" w:cstheme="majorBidi"/>
        </w:rPr>
        <w:t>.</w:t>
      </w:r>
    </w:p>
    <w:p w14:paraId="080F0695" w14:textId="57503F0B" w:rsidR="00252D95" w:rsidRPr="00252D95" w:rsidRDefault="00252D95" w:rsidP="00252D95">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252D95">
        <w:rPr>
          <w:rFonts w:asciiTheme="majorBidi" w:eastAsia="Times New Roman" w:hAnsiTheme="majorBidi" w:cstheme="majorBidi"/>
        </w:rPr>
        <w:t xml:space="preserve">students’ study habits, ranging from ‘strongly disagree’ to ‘strongly agree’. To ensure the instrument’s suitability, the author conducted several stages of validity and reliability testing, namely: (a) Reliability Test: To test the instrument’s internal consistency, the author used Cronbach’s Alpha. </w:t>
      </w:r>
    </w:p>
    <w:p w14:paraId="51A6C9E5" w14:textId="77777777" w:rsidR="00252D95" w:rsidRDefault="00252D95" w:rsidP="00252D95">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252D95">
        <w:rPr>
          <w:rFonts w:asciiTheme="majorBidi" w:eastAsia="Times New Roman" w:hAnsiTheme="majorBidi" w:cstheme="majorBidi"/>
        </w:rPr>
        <w:t>High reliability results indicate that the instrument is stable and reliable in measuring students’ learning habits; (b) Validity Test: The content validity of the instrument was tested using Pearson’s Product-Moment correlation between the score of each statement item and the total score. Items with a calculated r value greater than the table r value at a 5% significance level were deemed valid and suitable for use in further analysis; (c) Sample Adequacy Test (KMO): To test whether the data were suitable for factor analysis, the Kaiser-Meyer-Olkin (KMO) sample adequacy test was used</w:t>
      </w:r>
      <w:r>
        <w:rPr>
          <w:rFonts w:asciiTheme="majorBidi" w:eastAsia="Times New Roman" w:hAnsiTheme="majorBidi" w:cstheme="majorBidi"/>
        </w:rPr>
        <w:t xml:space="preserve">. </w:t>
      </w:r>
      <w:r w:rsidRPr="00252D95">
        <w:rPr>
          <w:rFonts w:asciiTheme="majorBidi" w:eastAsia="Times New Roman" w:hAnsiTheme="majorBidi" w:cstheme="majorBidi"/>
        </w:rPr>
        <w:t>A KMO value greater than 0.5 indicates that the data is sufficiently suitable for factor analysis and supports the construct structure in the questionnaire; (3) Data collection procedure: The questionnaire was distributed to respondents directly in the classroom with the teacher acting as a facilitator. Before completing the questionnaire, students were given a brief explanation of the research objectives and how to answer each item. Data collection was carried out in a single class session to ensure consistency and efficiency; (4) Data Analysis: The collected data were analysed quantitatively using the following steps: (a) Testing the validity of each statement item using Product Moment correlation analysis; (b) Testing the reliability of the entire instrument using Cronbach’s Alpha; (c) Testing the suitability of the sample using KMO; (d) Calculating the average score for each aspect of learning habits; (e) Presenting the results in the form of tables and bar charts to visually illustrate the profile of students’ learning habits.</w:t>
      </w:r>
    </w:p>
    <w:p w14:paraId="339D558A" w14:textId="77777777" w:rsidR="00252D95" w:rsidRDefault="00252D95" w:rsidP="00252D95">
      <w:pPr>
        <w:widowControl w:val="0"/>
        <w:pBdr>
          <w:top w:val="nil"/>
          <w:left w:val="nil"/>
          <w:bottom w:val="nil"/>
          <w:right w:val="nil"/>
          <w:between w:val="nil"/>
        </w:pBdr>
        <w:spacing w:line="230" w:lineRule="auto"/>
        <w:jc w:val="both"/>
        <w:rPr>
          <w:rFonts w:asciiTheme="majorBidi" w:eastAsia="Times New Roman" w:hAnsiTheme="majorBidi" w:cstheme="majorBidi"/>
        </w:rPr>
      </w:pPr>
    </w:p>
    <w:p w14:paraId="33C4F31E" w14:textId="1FE4D544" w:rsidR="007A45A2" w:rsidRDefault="00252D95" w:rsidP="00252D95">
      <w:pPr>
        <w:widowControl w:val="0"/>
        <w:pBdr>
          <w:top w:val="nil"/>
          <w:left w:val="nil"/>
          <w:bottom w:val="nil"/>
          <w:right w:val="nil"/>
          <w:between w:val="nil"/>
        </w:pBdr>
        <w:spacing w:line="230" w:lineRule="auto"/>
        <w:jc w:val="both"/>
        <w:rPr>
          <w:rFonts w:asciiTheme="majorBidi" w:eastAsia="Times New Roman" w:hAnsiTheme="majorBidi" w:cstheme="majorBidi"/>
          <w:b/>
          <w:bCs/>
        </w:rPr>
      </w:pPr>
      <w:r w:rsidRPr="00252D95">
        <w:rPr>
          <w:rFonts w:asciiTheme="majorBidi" w:eastAsia="Times New Roman" w:hAnsiTheme="majorBidi" w:cstheme="majorBidi"/>
          <w:b/>
          <w:bCs/>
        </w:rPr>
        <w:t>RESULTS AND DISCUSSION</w:t>
      </w:r>
      <w:r w:rsidR="009C467C" w:rsidRPr="00252D95">
        <w:rPr>
          <w:rFonts w:asciiTheme="majorBidi" w:eastAsia="Times New Roman" w:hAnsiTheme="majorBidi" w:cstheme="majorBidi"/>
          <w:b/>
          <w:bCs/>
        </w:rPr>
        <w:t xml:space="preserve"> </w:t>
      </w:r>
    </w:p>
    <w:p w14:paraId="1650C61B" w14:textId="77200016" w:rsidR="00252D95" w:rsidRDefault="00252D95" w:rsidP="00252D95">
      <w:pPr>
        <w:widowControl w:val="0"/>
        <w:pBdr>
          <w:top w:val="nil"/>
          <w:left w:val="nil"/>
          <w:bottom w:val="nil"/>
          <w:right w:val="nil"/>
          <w:between w:val="nil"/>
        </w:pBdr>
        <w:spacing w:line="230" w:lineRule="auto"/>
        <w:jc w:val="both"/>
        <w:rPr>
          <w:rFonts w:asciiTheme="majorBidi" w:eastAsia="Times New Roman" w:hAnsiTheme="majorBidi" w:cstheme="majorBidi"/>
        </w:rPr>
      </w:pPr>
      <w:r w:rsidRPr="00252D95">
        <w:rPr>
          <w:rFonts w:asciiTheme="majorBidi" w:eastAsia="Times New Roman" w:hAnsiTheme="majorBidi" w:cstheme="majorBidi"/>
        </w:rPr>
        <w:t>This study aims to analyse the profile of pupils’ mathematics learning habits as a reflection of character education in schools. The instrument used was a questionnaire comprising 28 statements developed on the basis of learning habit indicators that reflect character values such as discipline, responsibility, honesty and hard work.</w:t>
      </w:r>
    </w:p>
    <w:p w14:paraId="04BDFC9A" w14:textId="3F128E84" w:rsidR="00252D95" w:rsidRDefault="00252D95" w:rsidP="00252D95">
      <w:pPr>
        <w:pStyle w:val="ListParagraph"/>
        <w:widowControl w:val="0"/>
        <w:numPr>
          <w:ilvl w:val="0"/>
          <w:numId w:val="3"/>
        </w:numPr>
        <w:pBdr>
          <w:top w:val="nil"/>
          <w:left w:val="nil"/>
          <w:bottom w:val="nil"/>
          <w:right w:val="nil"/>
          <w:between w:val="nil"/>
        </w:pBdr>
        <w:spacing w:line="230" w:lineRule="auto"/>
        <w:ind w:left="360"/>
        <w:jc w:val="both"/>
        <w:rPr>
          <w:rFonts w:asciiTheme="majorBidi" w:eastAsia="Times New Roman" w:hAnsiTheme="majorBidi" w:cstheme="majorBidi"/>
        </w:rPr>
      </w:pPr>
      <w:r w:rsidRPr="00252D95">
        <w:rPr>
          <w:rFonts w:asciiTheme="majorBidi" w:eastAsia="Times New Roman" w:hAnsiTheme="majorBidi" w:cstheme="majorBidi"/>
        </w:rPr>
        <w:t>Instrument Validity Test</w:t>
      </w:r>
    </w:p>
    <w:p w14:paraId="762E311E" w14:textId="77777777" w:rsidR="00252D95" w:rsidRPr="00252D95" w:rsidRDefault="00252D95" w:rsidP="00252D95">
      <w:pPr>
        <w:widowControl w:val="0"/>
        <w:pBdr>
          <w:top w:val="nil"/>
          <w:left w:val="nil"/>
          <w:bottom w:val="nil"/>
          <w:right w:val="nil"/>
          <w:between w:val="nil"/>
        </w:pBdr>
        <w:spacing w:line="230" w:lineRule="auto"/>
        <w:jc w:val="both"/>
        <w:rPr>
          <w:rFonts w:asciiTheme="majorBidi" w:eastAsia="Times New Roman" w:hAnsiTheme="majorBidi" w:cstheme="majorBidi"/>
        </w:rPr>
      </w:pPr>
    </w:p>
    <w:p w14:paraId="25AF93E7" w14:textId="77777777" w:rsidR="007A45A2" w:rsidRPr="00B15EF8" w:rsidRDefault="007A45A2" w:rsidP="00B15EF8">
      <w:pPr>
        <w:widowControl w:val="0"/>
        <w:pBdr>
          <w:top w:val="nil"/>
          <w:left w:val="nil"/>
          <w:bottom w:val="nil"/>
          <w:right w:val="nil"/>
          <w:between w:val="nil"/>
        </w:pBdr>
        <w:spacing w:line="230" w:lineRule="auto"/>
        <w:rPr>
          <w:rFonts w:asciiTheme="majorBidi" w:eastAsia="Times New Roman" w:hAnsiTheme="majorBidi" w:cstheme="majorBidi"/>
        </w:rPr>
      </w:pPr>
    </w:p>
    <w:p w14:paraId="5BC9BBC4" w14:textId="75D713FC" w:rsidR="007A45A2" w:rsidRPr="00B15EF8" w:rsidRDefault="009C467C" w:rsidP="00B15EF8">
      <w:pPr>
        <w:widowControl w:val="0"/>
        <w:pBdr>
          <w:top w:val="nil"/>
          <w:left w:val="nil"/>
          <w:bottom w:val="nil"/>
          <w:right w:val="nil"/>
          <w:between w:val="nil"/>
        </w:pBdr>
        <w:spacing w:line="230" w:lineRule="auto"/>
        <w:jc w:val="center"/>
        <w:rPr>
          <w:rFonts w:asciiTheme="majorBidi" w:eastAsia="Times New Roman" w:hAnsiTheme="majorBidi" w:cstheme="majorBidi"/>
          <w:b/>
        </w:rPr>
      </w:pPr>
      <w:r w:rsidRPr="009C467C">
        <w:rPr>
          <w:rFonts w:asciiTheme="majorBidi" w:eastAsia="Times New Roman" w:hAnsiTheme="majorBidi" w:cstheme="majorBidi"/>
          <w:b/>
        </w:rPr>
        <w:t>Table 1</w:t>
      </w:r>
      <w:r>
        <w:rPr>
          <w:rFonts w:asciiTheme="majorBidi" w:eastAsia="Times New Roman" w:hAnsiTheme="majorBidi" w:cstheme="majorBidi"/>
          <w:b/>
        </w:rPr>
        <w:t>.</w:t>
      </w:r>
      <w:r w:rsidRPr="009C467C">
        <w:rPr>
          <w:rFonts w:asciiTheme="majorBidi" w:eastAsia="Times New Roman" w:hAnsiTheme="majorBidi" w:cstheme="majorBidi"/>
          <w:b/>
        </w:rPr>
        <w:t xml:space="preserve"> Criteria for Achieving Mathematical Problem-Solving Skills</w:t>
      </w:r>
      <w:r w:rsidRPr="00B15EF8">
        <w:rPr>
          <w:rFonts w:asciiTheme="majorBidi" w:eastAsia="Times New Roman" w:hAnsiTheme="majorBidi" w:cstheme="majorBidi"/>
          <w:b/>
        </w:rPr>
        <w:t xml:space="preserve"> </w:t>
      </w:r>
    </w:p>
    <w:p w14:paraId="6535268B" w14:textId="77777777" w:rsidR="007A45A2" w:rsidRPr="00B15EF8" w:rsidRDefault="007A45A2" w:rsidP="00B15EF8">
      <w:pPr>
        <w:widowControl w:val="0"/>
        <w:spacing w:line="230" w:lineRule="auto"/>
        <w:rPr>
          <w:rFonts w:asciiTheme="majorBidi" w:eastAsia="Times New Roman" w:hAnsiTheme="majorBidi" w:cstheme="majorBidi"/>
        </w:rPr>
      </w:pPr>
    </w:p>
    <w:tbl>
      <w:tblPr>
        <w:tblStyle w:val="a"/>
        <w:tblW w:w="3426" w:type="dxa"/>
        <w:tblInd w:w="252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Look w:val="0600" w:firstRow="0" w:lastRow="0" w:firstColumn="0" w:lastColumn="0" w:noHBand="1" w:noVBand="1"/>
      </w:tblPr>
      <w:tblGrid>
        <w:gridCol w:w="690"/>
        <w:gridCol w:w="1500"/>
        <w:gridCol w:w="1236"/>
      </w:tblGrid>
      <w:tr w:rsidR="007A45A2" w:rsidRPr="00B15EF8" w14:paraId="2E25994D" w14:textId="77777777" w:rsidTr="006B1021">
        <w:trPr>
          <w:trHeight w:val="270"/>
        </w:trPr>
        <w:tc>
          <w:tcPr>
            <w:tcW w:w="690" w:type="dxa"/>
            <w:tcBorders>
              <w:top w:val="single" w:sz="6" w:space="0" w:color="000000"/>
              <w:left w:val="nil"/>
              <w:bottom w:val="single" w:sz="4" w:space="0" w:color="auto"/>
              <w:right w:val="nil"/>
            </w:tcBorders>
            <w:tcMar>
              <w:top w:w="0" w:type="dxa"/>
              <w:left w:w="100" w:type="dxa"/>
              <w:bottom w:w="0" w:type="dxa"/>
              <w:right w:w="100" w:type="dxa"/>
            </w:tcMar>
          </w:tcPr>
          <w:p w14:paraId="43148241" w14:textId="77777777" w:rsidR="007A45A2" w:rsidRPr="00B15EF8" w:rsidRDefault="00000000" w:rsidP="00B15EF8">
            <w:pPr>
              <w:widowControl w:val="0"/>
              <w:spacing w:line="240" w:lineRule="auto"/>
              <w:jc w:val="center"/>
              <w:rPr>
                <w:rFonts w:asciiTheme="majorBidi" w:eastAsia="Times New Roman" w:hAnsiTheme="majorBidi" w:cstheme="majorBidi"/>
                <w:b/>
                <w:bCs/>
              </w:rPr>
            </w:pPr>
            <w:r w:rsidRPr="00B15EF8">
              <w:rPr>
                <w:rFonts w:asciiTheme="majorBidi" w:eastAsia="Times New Roman" w:hAnsiTheme="majorBidi" w:cstheme="majorBidi"/>
                <w:b/>
                <w:bCs/>
              </w:rPr>
              <w:t>No.</w:t>
            </w:r>
          </w:p>
        </w:tc>
        <w:tc>
          <w:tcPr>
            <w:tcW w:w="1500" w:type="dxa"/>
            <w:tcBorders>
              <w:top w:val="single" w:sz="6" w:space="0" w:color="000000"/>
              <w:left w:val="nil"/>
              <w:bottom w:val="single" w:sz="4" w:space="0" w:color="auto"/>
              <w:right w:val="nil"/>
            </w:tcBorders>
            <w:tcMar>
              <w:top w:w="0" w:type="dxa"/>
              <w:left w:w="100" w:type="dxa"/>
              <w:bottom w:w="0" w:type="dxa"/>
              <w:right w:w="100" w:type="dxa"/>
            </w:tcMar>
          </w:tcPr>
          <w:p w14:paraId="04D5D6B4" w14:textId="6F532A88" w:rsidR="007A45A2" w:rsidRPr="00B15EF8" w:rsidRDefault="009C467C" w:rsidP="00B15EF8">
            <w:pPr>
              <w:widowControl w:val="0"/>
              <w:spacing w:line="240" w:lineRule="auto"/>
              <w:jc w:val="both"/>
              <w:rPr>
                <w:rFonts w:asciiTheme="majorBidi" w:eastAsia="Times New Roman" w:hAnsiTheme="majorBidi" w:cstheme="majorBidi"/>
                <w:b/>
                <w:bCs/>
              </w:rPr>
            </w:pPr>
            <w:r w:rsidRPr="009C467C">
              <w:rPr>
                <w:rFonts w:asciiTheme="majorBidi" w:eastAsia="Times New Roman" w:hAnsiTheme="majorBidi" w:cstheme="majorBidi"/>
                <w:b/>
                <w:bCs/>
              </w:rPr>
              <w:t>Range</w:t>
            </w:r>
          </w:p>
        </w:tc>
        <w:tc>
          <w:tcPr>
            <w:tcW w:w="1236" w:type="dxa"/>
            <w:tcBorders>
              <w:top w:val="single" w:sz="6" w:space="0" w:color="000000"/>
              <w:left w:val="nil"/>
              <w:bottom w:val="single" w:sz="4" w:space="0" w:color="auto"/>
              <w:right w:val="nil"/>
            </w:tcBorders>
            <w:tcMar>
              <w:top w:w="0" w:type="dxa"/>
              <w:left w:w="100" w:type="dxa"/>
              <w:bottom w:w="0" w:type="dxa"/>
              <w:right w:w="100" w:type="dxa"/>
            </w:tcMar>
          </w:tcPr>
          <w:p w14:paraId="1A9A57C3" w14:textId="7EFA7344" w:rsidR="007A45A2" w:rsidRPr="00B15EF8" w:rsidRDefault="009C467C" w:rsidP="00B15EF8">
            <w:pPr>
              <w:widowControl w:val="0"/>
              <w:spacing w:line="240" w:lineRule="auto"/>
              <w:jc w:val="both"/>
              <w:rPr>
                <w:rFonts w:asciiTheme="majorBidi" w:eastAsia="Times New Roman" w:hAnsiTheme="majorBidi" w:cstheme="majorBidi"/>
                <w:b/>
                <w:bCs/>
              </w:rPr>
            </w:pPr>
            <w:r w:rsidRPr="009C467C">
              <w:rPr>
                <w:rFonts w:asciiTheme="majorBidi" w:eastAsia="Times New Roman" w:hAnsiTheme="majorBidi" w:cstheme="majorBidi"/>
                <w:b/>
                <w:bCs/>
              </w:rPr>
              <w:t>Criteria</w:t>
            </w:r>
          </w:p>
        </w:tc>
      </w:tr>
      <w:tr w:rsidR="007A45A2" w:rsidRPr="00B15EF8" w14:paraId="47D62742" w14:textId="77777777" w:rsidTr="006B1021">
        <w:trPr>
          <w:trHeight w:val="270"/>
        </w:trPr>
        <w:tc>
          <w:tcPr>
            <w:tcW w:w="690" w:type="dxa"/>
            <w:tcBorders>
              <w:top w:val="single" w:sz="4" w:space="0" w:color="auto"/>
              <w:left w:val="nil"/>
              <w:bottom w:val="nil"/>
              <w:right w:val="nil"/>
            </w:tcBorders>
            <w:tcMar>
              <w:top w:w="0" w:type="dxa"/>
              <w:left w:w="100" w:type="dxa"/>
              <w:bottom w:w="0" w:type="dxa"/>
              <w:right w:w="100" w:type="dxa"/>
            </w:tcMar>
          </w:tcPr>
          <w:p w14:paraId="7376E10E"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1.</w:t>
            </w:r>
          </w:p>
        </w:tc>
        <w:tc>
          <w:tcPr>
            <w:tcW w:w="1500" w:type="dxa"/>
            <w:tcBorders>
              <w:top w:val="single" w:sz="4" w:space="0" w:color="auto"/>
              <w:left w:val="nil"/>
              <w:bottom w:val="nil"/>
              <w:right w:val="nil"/>
            </w:tcBorders>
            <w:tcMar>
              <w:top w:w="0" w:type="dxa"/>
              <w:left w:w="100" w:type="dxa"/>
              <w:bottom w:w="0" w:type="dxa"/>
              <w:right w:w="100" w:type="dxa"/>
            </w:tcMar>
          </w:tcPr>
          <w:p w14:paraId="32A4DE3B"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80-100</w:t>
            </w:r>
          </w:p>
        </w:tc>
        <w:tc>
          <w:tcPr>
            <w:tcW w:w="1236" w:type="dxa"/>
            <w:tcBorders>
              <w:top w:val="single" w:sz="4" w:space="0" w:color="auto"/>
              <w:left w:val="nil"/>
              <w:bottom w:val="nil"/>
              <w:right w:val="nil"/>
            </w:tcBorders>
            <w:tcMar>
              <w:top w:w="0" w:type="dxa"/>
              <w:left w:w="100" w:type="dxa"/>
              <w:bottom w:w="0" w:type="dxa"/>
              <w:right w:w="100" w:type="dxa"/>
            </w:tcMar>
          </w:tcPr>
          <w:p w14:paraId="79EE58EB" w14:textId="17F52282" w:rsidR="007A45A2" w:rsidRPr="00B15EF8" w:rsidRDefault="009C467C" w:rsidP="00B15EF8">
            <w:pPr>
              <w:widowControl w:val="0"/>
              <w:spacing w:line="240" w:lineRule="auto"/>
              <w:jc w:val="both"/>
              <w:rPr>
                <w:rFonts w:asciiTheme="majorBidi" w:eastAsia="Times New Roman" w:hAnsiTheme="majorBidi" w:cstheme="majorBidi"/>
              </w:rPr>
            </w:pPr>
            <w:r w:rsidRPr="009C467C">
              <w:rPr>
                <w:rFonts w:asciiTheme="majorBidi" w:eastAsia="Times New Roman" w:hAnsiTheme="majorBidi" w:cstheme="majorBidi"/>
              </w:rPr>
              <w:t xml:space="preserve">Very </w:t>
            </w:r>
            <w:r>
              <w:rPr>
                <w:rFonts w:asciiTheme="majorBidi" w:eastAsia="Times New Roman" w:hAnsiTheme="majorBidi" w:cstheme="majorBidi"/>
              </w:rPr>
              <w:t>G</w:t>
            </w:r>
            <w:r w:rsidRPr="009C467C">
              <w:rPr>
                <w:rFonts w:asciiTheme="majorBidi" w:eastAsia="Times New Roman" w:hAnsiTheme="majorBidi" w:cstheme="majorBidi"/>
              </w:rPr>
              <w:t>ood</w:t>
            </w:r>
          </w:p>
        </w:tc>
      </w:tr>
      <w:tr w:rsidR="007A45A2" w:rsidRPr="00B15EF8" w14:paraId="177DA892" w14:textId="77777777" w:rsidTr="006B1021">
        <w:trPr>
          <w:trHeight w:val="270"/>
        </w:trPr>
        <w:tc>
          <w:tcPr>
            <w:tcW w:w="690" w:type="dxa"/>
            <w:tcBorders>
              <w:top w:val="nil"/>
              <w:left w:val="nil"/>
              <w:bottom w:val="nil"/>
              <w:right w:val="nil"/>
            </w:tcBorders>
            <w:tcMar>
              <w:top w:w="0" w:type="dxa"/>
              <w:left w:w="100" w:type="dxa"/>
              <w:bottom w:w="0" w:type="dxa"/>
              <w:right w:w="100" w:type="dxa"/>
            </w:tcMar>
          </w:tcPr>
          <w:p w14:paraId="7DACDA6D"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2.</w:t>
            </w:r>
          </w:p>
        </w:tc>
        <w:tc>
          <w:tcPr>
            <w:tcW w:w="1500" w:type="dxa"/>
            <w:tcBorders>
              <w:top w:val="nil"/>
              <w:left w:val="nil"/>
              <w:bottom w:val="nil"/>
              <w:right w:val="nil"/>
            </w:tcBorders>
            <w:tcMar>
              <w:top w:w="0" w:type="dxa"/>
              <w:left w:w="100" w:type="dxa"/>
              <w:bottom w:w="0" w:type="dxa"/>
              <w:right w:w="100" w:type="dxa"/>
            </w:tcMar>
          </w:tcPr>
          <w:p w14:paraId="6B44846D"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60-79</w:t>
            </w:r>
          </w:p>
        </w:tc>
        <w:tc>
          <w:tcPr>
            <w:tcW w:w="1236" w:type="dxa"/>
            <w:tcBorders>
              <w:top w:val="nil"/>
              <w:left w:val="nil"/>
              <w:bottom w:val="nil"/>
              <w:right w:val="nil"/>
            </w:tcBorders>
            <w:tcMar>
              <w:top w:w="0" w:type="dxa"/>
              <w:left w:w="100" w:type="dxa"/>
              <w:bottom w:w="0" w:type="dxa"/>
              <w:right w:w="100" w:type="dxa"/>
            </w:tcMar>
          </w:tcPr>
          <w:p w14:paraId="3E993B1D" w14:textId="70E9E03D" w:rsidR="007A45A2" w:rsidRPr="00B15EF8" w:rsidRDefault="009C467C" w:rsidP="00B15EF8">
            <w:pPr>
              <w:widowControl w:val="0"/>
              <w:spacing w:line="240" w:lineRule="auto"/>
              <w:jc w:val="both"/>
              <w:rPr>
                <w:rFonts w:asciiTheme="majorBidi" w:eastAsia="Times New Roman" w:hAnsiTheme="majorBidi" w:cstheme="majorBidi"/>
              </w:rPr>
            </w:pPr>
            <w:r>
              <w:rPr>
                <w:rFonts w:asciiTheme="majorBidi" w:eastAsia="Times New Roman" w:hAnsiTheme="majorBidi" w:cstheme="majorBidi"/>
              </w:rPr>
              <w:t>Good</w:t>
            </w:r>
          </w:p>
        </w:tc>
      </w:tr>
      <w:tr w:rsidR="007A45A2" w:rsidRPr="00B15EF8" w14:paraId="3223717F" w14:textId="77777777" w:rsidTr="006B1021">
        <w:trPr>
          <w:trHeight w:val="270"/>
        </w:trPr>
        <w:tc>
          <w:tcPr>
            <w:tcW w:w="690" w:type="dxa"/>
            <w:tcBorders>
              <w:top w:val="nil"/>
              <w:left w:val="nil"/>
              <w:bottom w:val="nil"/>
              <w:right w:val="nil"/>
            </w:tcBorders>
            <w:tcMar>
              <w:top w:w="0" w:type="dxa"/>
              <w:left w:w="100" w:type="dxa"/>
              <w:bottom w:w="0" w:type="dxa"/>
              <w:right w:w="100" w:type="dxa"/>
            </w:tcMar>
          </w:tcPr>
          <w:p w14:paraId="4AB8A522"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3.</w:t>
            </w:r>
          </w:p>
        </w:tc>
        <w:tc>
          <w:tcPr>
            <w:tcW w:w="1500" w:type="dxa"/>
            <w:tcBorders>
              <w:top w:val="nil"/>
              <w:left w:val="nil"/>
              <w:bottom w:val="nil"/>
              <w:right w:val="nil"/>
            </w:tcBorders>
            <w:tcMar>
              <w:top w:w="0" w:type="dxa"/>
              <w:left w:w="100" w:type="dxa"/>
              <w:bottom w:w="0" w:type="dxa"/>
              <w:right w:w="100" w:type="dxa"/>
            </w:tcMar>
          </w:tcPr>
          <w:p w14:paraId="28A3D6C1"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41-59</w:t>
            </w:r>
          </w:p>
        </w:tc>
        <w:tc>
          <w:tcPr>
            <w:tcW w:w="1236" w:type="dxa"/>
            <w:tcBorders>
              <w:top w:val="nil"/>
              <w:left w:val="nil"/>
              <w:bottom w:val="nil"/>
              <w:right w:val="nil"/>
            </w:tcBorders>
            <w:tcMar>
              <w:top w:w="0" w:type="dxa"/>
              <w:left w:w="100" w:type="dxa"/>
              <w:bottom w:w="0" w:type="dxa"/>
              <w:right w:w="100" w:type="dxa"/>
            </w:tcMar>
          </w:tcPr>
          <w:p w14:paraId="307275F1" w14:textId="5BBF7EDE" w:rsidR="007A45A2" w:rsidRPr="00B15EF8" w:rsidRDefault="009C467C" w:rsidP="006B1021">
            <w:pPr>
              <w:widowControl w:val="0"/>
              <w:spacing w:line="240" w:lineRule="auto"/>
              <w:jc w:val="both"/>
              <w:rPr>
                <w:rFonts w:asciiTheme="majorBidi" w:eastAsia="Times New Roman" w:hAnsiTheme="majorBidi" w:cstheme="majorBidi"/>
              </w:rPr>
            </w:pPr>
            <w:r w:rsidRPr="009C467C">
              <w:rPr>
                <w:rFonts w:asciiTheme="majorBidi" w:eastAsia="Times New Roman" w:hAnsiTheme="majorBidi" w:cstheme="majorBidi"/>
              </w:rPr>
              <w:t>Enough</w:t>
            </w:r>
          </w:p>
        </w:tc>
      </w:tr>
      <w:tr w:rsidR="007A45A2" w:rsidRPr="00B15EF8" w14:paraId="116C6E65" w14:textId="77777777" w:rsidTr="006B1021">
        <w:trPr>
          <w:trHeight w:val="270"/>
        </w:trPr>
        <w:tc>
          <w:tcPr>
            <w:tcW w:w="690" w:type="dxa"/>
            <w:tcBorders>
              <w:top w:val="nil"/>
              <w:left w:val="nil"/>
              <w:bottom w:val="single" w:sz="6" w:space="0" w:color="000000"/>
              <w:right w:val="nil"/>
            </w:tcBorders>
            <w:tcMar>
              <w:top w:w="0" w:type="dxa"/>
              <w:left w:w="100" w:type="dxa"/>
              <w:bottom w:w="0" w:type="dxa"/>
              <w:right w:w="100" w:type="dxa"/>
            </w:tcMar>
          </w:tcPr>
          <w:p w14:paraId="14C5F1E7"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4.</w:t>
            </w:r>
          </w:p>
        </w:tc>
        <w:tc>
          <w:tcPr>
            <w:tcW w:w="1500" w:type="dxa"/>
            <w:tcBorders>
              <w:top w:val="nil"/>
              <w:left w:val="nil"/>
              <w:bottom w:val="single" w:sz="6" w:space="0" w:color="000000"/>
              <w:right w:val="nil"/>
            </w:tcBorders>
            <w:tcMar>
              <w:top w:w="0" w:type="dxa"/>
              <w:left w:w="100" w:type="dxa"/>
              <w:bottom w:w="0" w:type="dxa"/>
              <w:right w:w="100" w:type="dxa"/>
            </w:tcMar>
          </w:tcPr>
          <w:p w14:paraId="08DDD974"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0-40</w:t>
            </w:r>
          </w:p>
        </w:tc>
        <w:tc>
          <w:tcPr>
            <w:tcW w:w="1236" w:type="dxa"/>
            <w:tcBorders>
              <w:top w:val="nil"/>
              <w:left w:val="nil"/>
              <w:bottom w:val="single" w:sz="6" w:space="0" w:color="000000"/>
              <w:right w:val="nil"/>
            </w:tcBorders>
            <w:tcMar>
              <w:top w:w="0" w:type="dxa"/>
              <w:left w:w="100" w:type="dxa"/>
              <w:bottom w:w="0" w:type="dxa"/>
              <w:right w:w="100" w:type="dxa"/>
            </w:tcMar>
          </w:tcPr>
          <w:p w14:paraId="41EBE2E6" w14:textId="6D48DCBE" w:rsidR="007A45A2" w:rsidRPr="00B15EF8" w:rsidRDefault="009C467C" w:rsidP="006B1021">
            <w:pPr>
              <w:widowControl w:val="0"/>
              <w:spacing w:line="240" w:lineRule="auto"/>
              <w:jc w:val="both"/>
              <w:rPr>
                <w:rFonts w:asciiTheme="majorBidi" w:eastAsia="Times New Roman" w:hAnsiTheme="majorBidi" w:cstheme="majorBidi"/>
              </w:rPr>
            </w:pPr>
            <w:r w:rsidRPr="009C467C">
              <w:rPr>
                <w:rFonts w:asciiTheme="majorBidi" w:eastAsia="Times New Roman" w:hAnsiTheme="majorBidi" w:cstheme="majorBidi"/>
              </w:rPr>
              <w:t>Less</w:t>
            </w:r>
          </w:p>
        </w:tc>
      </w:tr>
    </w:tbl>
    <w:p w14:paraId="07D3CE32" w14:textId="77777777" w:rsidR="007A45A2" w:rsidRPr="00B15EF8" w:rsidRDefault="007A45A2">
      <w:pPr>
        <w:widowControl w:val="0"/>
        <w:pBdr>
          <w:top w:val="nil"/>
          <w:left w:val="nil"/>
          <w:bottom w:val="nil"/>
          <w:right w:val="nil"/>
          <w:between w:val="nil"/>
        </w:pBdr>
        <w:spacing w:line="230" w:lineRule="auto"/>
        <w:ind w:right="263"/>
        <w:rPr>
          <w:rFonts w:asciiTheme="majorBidi" w:eastAsia="Times New Roman" w:hAnsiTheme="majorBidi" w:cstheme="majorBidi"/>
        </w:rPr>
      </w:pPr>
    </w:p>
    <w:p w14:paraId="24F5DC2C" w14:textId="77777777" w:rsidR="0066117B"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7B9B9152" w14:textId="77777777" w:rsidR="0066117B"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569B565E" w14:textId="77777777" w:rsidR="00B6175C" w:rsidRDefault="00B6175C"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4CBB8F21" w14:textId="77777777" w:rsidR="00B6175C" w:rsidRDefault="00B6175C"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7E22B69B" w14:textId="77777777" w:rsidR="00B6175C" w:rsidRDefault="00B6175C"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4B2B4F45" w14:textId="77777777" w:rsidR="00B6175C" w:rsidRDefault="00B6175C"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54E497DF" w14:textId="77777777" w:rsidR="00B6175C" w:rsidRDefault="00B6175C"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6FCA002E" w14:textId="77777777" w:rsidR="00B6175C" w:rsidRDefault="00B6175C"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478D40EC" w14:textId="77777777" w:rsidR="0066117B"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6399FBCD" w14:textId="1A22E3E3" w:rsidR="007A45A2" w:rsidRPr="00B15EF8" w:rsidRDefault="009C467C" w:rsidP="00B15EF8">
      <w:pPr>
        <w:widowControl w:val="0"/>
        <w:pBdr>
          <w:top w:val="nil"/>
          <w:left w:val="nil"/>
          <w:bottom w:val="nil"/>
          <w:right w:val="nil"/>
          <w:between w:val="nil"/>
        </w:pBdr>
        <w:spacing w:line="240" w:lineRule="auto"/>
        <w:rPr>
          <w:rFonts w:asciiTheme="majorBidi" w:eastAsia="Times New Roman" w:hAnsiTheme="majorBidi" w:cstheme="majorBidi"/>
          <w:b/>
          <w:color w:val="000000"/>
        </w:rPr>
      </w:pPr>
      <w:r w:rsidRPr="009C467C">
        <w:rPr>
          <w:rFonts w:asciiTheme="majorBidi" w:eastAsia="Times New Roman" w:hAnsiTheme="majorBidi" w:cstheme="majorBidi"/>
          <w:b/>
        </w:rPr>
        <w:lastRenderedPageBreak/>
        <w:t>RESULTS AND DISCUSSION</w:t>
      </w:r>
    </w:p>
    <w:p w14:paraId="255DC4AF" w14:textId="61D8BB19" w:rsidR="007A45A2" w:rsidRDefault="00B6175C" w:rsidP="00B15EF8">
      <w:pPr>
        <w:widowControl w:val="0"/>
        <w:spacing w:line="229" w:lineRule="auto"/>
        <w:ind w:firstLine="720"/>
        <w:jc w:val="both"/>
        <w:rPr>
          <w:rFonts w:asciiTheme="majorBidi" w:eastAsia="Times New Roman" w:hAnsiTheme="majorBidi" w:cstheme="majorBidi"/>
        </w:rPr>
      </w:pPr>
      <w:r w:rsidRPr="00B6175C">
        <w:rPr>
          <w:rFonts w:asciiTheme="majorBidi" w:eastAsia="Times New Roman" w:hAnsiTheme="majorBidi" w:cstheme="majorBidi"/>
        </w:rPr>
        <w:t>This study aims to analyse the profile of pupils’ mathematics learning habits as a reflection of character education in schools. The instrument used was a questionnaire comprising 28 statements developed on the basis of learning habit indicators that reflect character values such as discipline, responsibility, honesty and hard work</w:t>
      </w:r>
      <w:r>
        <w:rPr>
          <w:rFonts w:asciiTheme="majorBidi" w:eastAsia="Times New Roman" w:hAnsiTheme="majorBidi" w:cstheme="majorBidi"/>
        </w:rPr>
        <w:t>.</w:t>
      </w:r>
      <w:r w:rsidR="009C467C" w:rsidRPr="00B15EF8">
        <w:rPr>
          <w:rFonts w:asciiTheme="majorBidi" w:eastAsia="Times New Roman" w:hAnsiTheme="majorBidi" w:cstheme="majorBidi"/>
        </w:rPr>
        <w:t xml:space="preserve"> </w:t>
      </w:r>
    </w:p>
    <w:p w14:paraId="56CF5945" w14:textId="39BC8FA5" w:rsidR="00B6175C" w:rsidRDefault="00B6175C" w:rsidP="00B6175C">
      <w:pPr>
        <w:pStyle w:val="ListParagraph"/>
        <w:widowControl w:val="0"/>
        <w:numPr>
          <w:ilvl w:val="0"/>
          <w:numId w:val="4"/>
        </w:numPr>
        <w:spacing w:line="229" w:lineRule="auto"/>
        <w:ind w:left="360"/>
        <w:jc w:val="both"/>
        <w:rPr>
          <w:rFonts w:asciiTheme="majorBidi" w:eastAsia="Times New Roman" w:hAnsiTheme="majorBidi" w:cstheme="majorBidi"/>
        </w:rPr>
      </w:pPr>
      <w:r w:rsidRPr="00B6175C">
        <w:rPr>
          <w:rFonts w:asciiTheme="majorBidi" w:eastAsia="Times New Roman" w:hAnsiTheme="majorBidi" w:cstheme="majorBidi"/>
        </w:rPr>
        <w:t>Instrument Validity Test</w:t>
      </w:r>
    </w:p>
    <w:p w14:paraId="43D599D1" w14:textId="5360C043" w:rsidR="00B6175C" w:rsidRDefault="00B6175C" w:rsidP="00B6175C">
      <w:pPr>
        <w:pStyle w:val="ListParagraph"/>
        <w:widowControl w:val="0"/>
        <w:spacing w:line="229" w:lineRule="auto"/>
        <w:ind w:left="360"/>
        <w:jc w:val="both"/>
        <w:rPr>
          <w:rFonts w:asciiTheme="majorBidi" w:eastAsia="Times New Roman" w:hAnsiTheme="majorBidi" w:cstheme="majorBidi"/>
        </w:rPr>
      </w:pPr>
      <w:r w:rsidRPr="00B6175C">
        <w:rPr>
          <w:rFonts w:asciiTheme="majorBidi" w:eastAsia="Times New Roman" w:hAnsiTheme="majorBidi" w:cstheme="majorBidi"/>
        </w:rPr>
        <w:t>Before being used for data analysis, the questionnaire underwent validity and reliability testing. The results of the tests are shown in Table 1 below:</w:t>
      </w:r>
    </w:p>
    <w:p w14:paraId="3B9682F4" w14:textId="48990D23" w:rsidR="00B6175C" w:rsidRDefault="00B6175C" w:rsidP="002144EB">
      <w:pPr>
        <w:pStyle w:val="Caption"/>
        <w:spacing w:after="0" w:line="276" w:lineRule="auto"/>
        <w:jc w:val="center"/>
        <w:rPr>
          <w:rFonts w:asciiTheme="majorBidi" w:eastAsia="Times New Roman" w:hAnsiTheme="majorBidi" w:cstheme="majorBidi"/>
        </w:rPr>
      </w:pPr>
      <w:r w:rsidRPr="00B6175C">
        <w:rPr>
          <w:rFonts w:asciiTheme="majorBidi" w:hAnsiTheme="majorBidi" w:cstheme="majorBidi"/>
          <w:i w:val="0"/>
          <w:iCs w:val="0"/>
          <w:color w:val="000000" w:themeColor="text1"/>
          <w:sz w:val="22"/>
          <w:szCs w:val="22"/>
        </w:rPr>
        <w:t xml:space="preserve">Table </w:t>
      </w:r>
      <w:r>
        <w:rPr>
          <w:rFonts w:asciiTheme="majorBidi" w:hAnsiTheme="majorBidi" w:cstheme="majorBidi"/>
          <w:i w:val="0"/>
          <w:iCs w:val="0"/>
          <w:color w:val="000000" w:themeColor="text1"/>
          <w:sz w:val="22"/>
          <w:szCs w:val="22"/>
        </w:rPr>
        <w:t xml:space="preserve">1. </w:t>
      </w:r>
      <w:r w:rsidRPr="00B6175C">
        <w:rPr>
          <w:rFonts w:asciiTheme="majorBidi" w:hAnsiTheme="majorBidi" w:cstheme="majorBidi"/>
          <w:i w:val="0"/>
          <w:iCs w:val="0"/>
          <w:color w:val="000000" w:themeColor="text1"/>
          <w:sz w:val="22"/>
          <w:szCs w:val="22"/>
        </w:rPr>
        <w:t>Results of the Instrument Validity 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10"/>
        <w:gridCol w:w="931"/>
        <w:gridCol w:w="60"/>
        <w:gridCol w:w="2128"/>
        <w:gridCol w:w="60"/>
        <w:gridCol w:w="1863"/>
        <w:gridCol w:w="60"/>
      </w:tblGrid>
      <w:tr w:rsidR="00B6175C" w14:paraId="3E3C6ED1" w14:textId="77777777" w:rsidTr="002144EB">
        <w:trPr>
          <w:jc w:val="center"/>
        </w:trPr>
        <w:tc>
          <w:tcPr>
            <w:tcW w:w="2410" w:type="dxa"/>
            <w:tcBorders>
              <w:bottom w:val="single" w:sz="4" w:space="0" w:color="auto"/>
            </w:tcBorders>
            <w:vAlign w:val="center"/>
          </w:tcPr>
          <w:p w14:paraId="3B6C351E" w14:textId="71F38E78" w:rsidR="00B6175C" w:rsidRDefault="00B6175C" w:rsidP="00B6175C">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b/>
                <w:bCs/>
              </w:rPr>
              <w:t>Type of Test</w:t>
            </w:r>
          </w:p>
        </w:tc>
        <w:tc>
          <w:tcPr>
            <w:tcW w:w="991" w:type="dxa"/>
            <w:gridSpan w:val="2"/>
            <w:tcBorders>
              <w:bottom w:val="single" w:sz="4" w:space="0" w:color="auto"/>
            </w:tcBorders>
            <w:vAlign w:val="center"/>
          </w:tcPr>
          <w:p w14:paraId="413E97B7" w14:textId="27AD764D" w:rsidR="00B6175C" w:rsidRDefault="00B6175C" w:rsidP="00B6175C">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b/>
                <w:bCs/>
              </w:rPr>
              <w:t>Results</w:t>
            </w:r>
          </w:p>
        </w:tc>
        <w:tc>
          <w:tcPr>
            <w:tcW w:w="2188" w:type="dxa"/>
            <w:gridSpan w:val="2"/>
            <w:tcBorders>
              <w:bottom w:val="single" w:sz="4" w:space="0" w:color="auto"/>
            </w:tcBorders>
            <w:vAlign w:val="center"/>
          </w:tcPr>
          <w:p w14:paraId="194F1CD4" w14:textId="44A0203E" w:rsidR="00B6175C" w:rsidRDefault="00B6175C" w:rsidP="00B6175C">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b/>
                <w:bCs/>
              </w:rPr>
              <w:t>Criteria</w:t>
            </w:r>
          </w:p>
        </w:tc>
        <w:tc>
          <w:tcPr>
            <w:tcW w:w="1923" w:type="dxa"/>
            <w:gridSpan w:val="2"/>
            <w:tcBorders>
              <w:bottom w:val="single" w:sz="4" w:space="0" w:color="auto"/>
            </w:tcBorders>
            <w:vAlign w:val="center"/>
          </w:tcPr>
          <w:p w14:paraId="0B11A039" w14:textId="4E01D42C" w:rsidR="00B6175C" w:rsidRDefault="00B6175C" w:rsidP="00B6175C">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b/>
                <w:bCs/>
              </w:rPr>
              <w:t>Description</w:t>
            </w:r>
          </w:p>
        </w:tc>
      </w:tr>
      <w:tr w:rsidR="002144EB" w14:paraId="0C09AFC0" w14:textId="77777777" w:rsidTr="002144EB">
        <w:trPr>
          <w:jc w:val="center"/>
        </w:trPr>
        <w:tc>
          <w:tcPr>
            <w:tcW w:w="2410" w:type="dxa"/>
            <w:tcBorders>
              <w:bottom w:val="nil"/>
              <w:right w:val="nil"/>
            </w:tcBorders>
            <w:vAlign w:val="center"/>
          </w:tcPr>
          <w:p w14:paraId="2F742609" w14:textId="3E85189E"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Cronbach’s Alpha</w:t>
            </w:r>
          </w:p>
        </w:tc>
        <w:tc>
          <w:tcPr>
            <w:tcW w:w="991" w:type="dxa"/>
            <w:gridSpan w:val="2"/>
            <w:tcBorders>
              <w:left w:val="nil"/>
              <w:bottom w:val="nil"/>
              <w:right w:val="nil"/>
            </w:tcBorders>
            <w:vAlign w:val="center"/>
          </w:tcPr>
          <w:p w14:paraId="15E40682" w14:textId="030407E0"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0,949</w:t>
            </w:r>
          </w:p>
        </w:tc>
        <w:tc>
          <w:tcPr>
            <w:tcW w:w="2188" w:type="dxa"/>
            <w:gridSpan w:val="2"/>
            <w:tcBorders>
              <w:left w:val="nil"/>
              <w:bottom w:val="nil"/>
              <w:right w:val="nil"/>
            </w:tcBorders>
            <w:vAlign w:val="center"/>
          </w:tcPr>
          <w:p w14:paraId="67DA5788" w14:textId="7F1B10C9"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 xml:space="preserve">&gt; 0,9 = </w:t>
            </w:r>
            <w:r w:rsidRPr="00B6175C">
              <w:rPr>
                <w:rFonts w:asciiTheme="majorBidi" w:hAnsiTheme="majorBidi" w:cstheme="majorBidi"/>
              </w:rPr>
              <w:t>Very high</w:t>
            </w:r>
          </w:p>
        </w:tc>
        <w:tc>
          <w:tcPr>
            <w:tcW w:w="1923" w:type="dxa"/>
            <w:gridSpan w:val="2"/>
            <w:tcBorders>
              <w:left w:val="nil"/>
              <w:bottom w:val="nil"/>
            </w:tcBorders>
            <w:vAlign w:val="center"/>
          </w:tcPr>
          <w:p w14:paraId="3E5CDFFD" w14:textId="473248A3"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rPr>
              <w:t>Reliable</w:t>
            </w:r>
          </w:p>
        </w:tc>
      </w:tr>
      <w:tr w:rsidR="002144EB" w14:paraId="343BB87A" w14:textId="77777777" w:rsidTr="002144EB">
        <w:trPr>
          <w:jc w:val="center"/>
        </w:trPr>
        <w:tc>
          <w:tcPr>
            <w:tcW w:w="2410" w:type="dxa"/>
            <w:tcBorders>
              <w:top w:val="nil"/>
              <w:bottom w:val="nil"/>
              <w:right w:val="nil"/>
            </w:tcBorders>
            <w:vAlign w:val="center"/>
          </w:tcPr>
          <w:p w14:paraId="6AA80D1F" w14:textId="130E3294"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KMO</w:t>
            </w:r>
          </w:p>
        </w:tc>
        <w:tc>
          <w:tcPr>
            <w:tcW w:w="991" w:type="dxa"/>
            <w:gridSpan w:val="2"/>
            <w:tcBorders>
              <w:top w:val="nil"/>
              <w:left w:val="nil"/>
              <w:bottom w:val="nil"/>
              <w:right w:val="nil"/>
            </w:tcBorders>
            <w:vAlign w:val="center"/>
          </w:tcPr>
          <w:p w14:paraId="4C0C5D31" w14:textId="4CAED565"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0,585</w:t>
            </w:r>
          </w:p>
        </w:tc>
        <w:tc>
          <w:tcPr>
            <w:tcW w:w="2188" w:type="dxa"/>
            <w:gridSpan w:val="2"/>
            <w:tcBorders>
              <w:top w:val="nil"/>
              <w:left w:val="nil"/>
              <w:bottom w:val="nil"/>
              <w:right w:val="nil"/>
            </w:tcBorders>
            <w:vAlign w:val="center"/>
          </w:tcPr>
          <w:p w14:paraId="115FEF1B" w14:textId="3D1A9C39"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 xml:space="preserve">0,5–0,7 = </w:t>
            </w:r>
            <w:r w:rsidRPr="00B6175C">
              <w:rPr>
                <w:rFonts w:asciiTheme="majorBidi" w:hAnsiTheme="majorBidi" w:cstheme="majorBidi"/>
              </w:rPr>
              <w:t>Quite decent</w:t>
            </w:r>
          </w:p>
        </w:tc>
        <w:tc>
          <w:tcPr>
            <w:tcW w:w="1923" w:type="dxa"/>
            <w:gridSpan w:val="2"/>
            <w:tcBorders>
              <w:top w:val="nil"/>
              <w:left w:val="nil"/>
              <w:bottom w:val="nil"/>
            </w:tcBorders>
            <w:vAlign w:val="center"/>
          </w:tcPr>
          <w:p w14:paraId="28648B2B" w14:textId="6F1974D2"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rPr>
              <w:t>Worth considering</w:t>
            </w:r>
          </w:p>
        </w:tc>
      </w:tr>
      <w:tr w:rsidR="002144EB" w14:paraId="42039C76" w14:textId="77777777" w:rsidTr="002144EB">
        <w:trPr>
          <w:gridAfter w:val="1"/>
          <w:wAfter w:w="60" w:type="dxa"/>
          <w:jc w:val="center"/>
        </w:trPr>
        <w:tc>
          <w:tcPr>
            <w:tcW w:w="2410" w:type="dxa"/>
            <w:tcBorders>
              <w:top w:val="nil"/>
              <w:bottom w:val="nil"/>
              <w:right w:val="nil"/>
            </w:tcBorders>
            <w:vAlign w:val="center"/>
          </w:tcPr>
          <w:p w14:paraId="72210193" w14:textId="22B70EB1" w:rsidR="002144EB" w:rsidRPr="002144EB" w:rsidRDefault="002144EB" w:rsidP="002144EB">
            <w:pPr>
              <w:pStyle w:val="ListParagraph"/>
              <w:widowControl w:val="0"/>
              <w:spacing w:line="229" w:lineRule="auto"/>
              <w:ind w:left="0"/>
              <w:jc w:val="both"/>
              <w:rPr>
                <w:rFonts w:asciiTheme="majorBidi" w:eastAsia="Times New Roman" w:hAnsiTheme="majorBidi" w:cstheme="majorBidi"/>
                <w:b/>
                <w:bCs/>
              </w:rPr>
            </w:pPr>
            <w:r w:rsidRPr="002144EB">
              <w:rPr>
                <w:rFonts w:asciiTheme="majorBidi" w:hAnsiTheme="majorBidi" w:cstheme="majorBidi"/>
                <w:b/>
                <w:bCs/>
              </w:rPr>
              <w:t>Number of Statements</w:t>
            </w:r>
          </w:p>
        </w:tc>
        <w:tc>
          <w:tcPr>
            <w:tcW w:w="931" w:type="dxa"/>
            <w:tcBorders>
              <w:top w:val="nil"/>
              <w:left w:val="nil"/>
              <w:bottom w:val="nil"/>
              <w:right w:val="nil"/>
            </w:tcBorders>
            <w:vAlign w:val="center"/>
          </w:tcPr>
          <w:p w14:paraId="77465BC3" w14:textId="6A3D664C" w:rsidR="002144EB" w:rsidRPr="002144EB" w:rsidRDefault="002144EB" w:rsidP="002144EB">
            <w:pPr>
              <w:pStyle w:val="ListParagraph"/>
              <w:widowControl w:val="0"/>
              <w:spacing w:line="229" w:lineRule="auto"/>
              <w:ind w:left="0"/>
              <w:jc w:val="center"/>
              <w:rPr>
                <w:rFonts w:asciiTheme="majorBidi" w:eastAsia="Times New Roman" w:hAnsiTheme="majorBidi" w:cstheme="majorBidi"/>
                <w:b/>
                <w:bCs/>
              </w:rPr>
            </w:pPr>
            <w:r w:rsidRPr="002144EB">
              <w:rPr>
                <w:rFonts w:asciiTheme="majorBidi" w:hAnsiTheme="majorBidi" w:cstheme="majorBidi"/>
                <w:b/>
                <w:bCs/>
              </w:rPr>
              <w:t>28</w:t>
            </w:r>
          </w:p>
        </w:tc>
        <w:tc>
          <w:tcPr>
            <w:tcW w:w="2188" w:type="dxa"/>
            <w:gridSpan w:val="2"/>
            <w:tcBorders>
              <w:top w:val="nil"/>
              <w:left w:val="nil"/>
              <w:bottom w:val="nil"/>
              <w:right w:val="nil"/>
            </w:tcBorders>
            <w:vAlign w:val="center"/>
          </w:tcPr>
          <w:p w14:paraId="613B2F50" w14:textId="77777777" w:rsidR="002144EB" w:rsidRDefault="002144EB" w:rsidP="002144EB">
            <w:pPr>
              <w:pStyle w:val="ListParagraph"/>
              <w:widowControl w:val="0"/>
              <w:spacing w:line="229" w:lineRule="auto"/>
              <w:ind w:left="0"/>
              <w:jc w:val="both"/>
              <w:rPr>
                <w:rFonts w:asciiTheme="majorBidi" w:eastAsia="Times New Roman" w:hAnsiTheme="majorBidi" w:cstheme="majorBidi"/>
              </w:rPr>
            </w:pPr>
          </w:p>
        </w:tc>
        <w:tc>
          <w:tcPr>
            <w:tcW w:w="1923" w:type="dxa"/>
            <w:gridSpan w:val="2"/>
            <w:tcBorders>
              <w:top w:val="nil"/>
              <w:left w:val="nil"/>
              <w:bottom w:val="nil"/>
            </w:tcBorders>
            <w:vAlign w:val="center"/>
          </w:tcPr>
          <w:p w14:paraId="36930A6C" w14:textId="77777777" w:rsidR="002144EB" w:rsidRDefault="002144EB" w:rsidP="002144EB">
            <w:pPr>
              <w:pStyle w:val="ListParagraph"/>
              <w:widowControl w:val="0"/>
              <w:spacing w:line="229" w:lineRule="auto"/>
              <w:ind w:left="0"/>
              <w:jc w:val="both"/>
              <w:rPr>
                <w:rFonts w:asciiTheme="majorBidi" w:eastAsia="Times New Roman" w:hAnsiTheme="majorBidi" w:cstheme="majorBidi"/>
              </w:rPr>
            </w:pPr>
          </w:p>
        </w:tc>
      </w:tr>
      <w:tr w:rsidR="002144EB" w14:paraId="206852D7" w14:textId="77777777" w:rsidTr="002144EB">
        <w:trPr>
          <w:jc w:val="center"/>
        </w:trPr>
        <w:tc>
          <w:tcPr>
            <w:tcW w:w="2410" w:type="dxa"/>
            <w:tcBorders>
              <w:top w:val="nil"/>
              <w:bottom w:val="nil"/>
              <w:right w:val="nil"/>
            </w:tcBorders>
            <w:vAlign w:val="center"/>
          </w:tcPr>
          <w:p w14:paraId="1F9642CC" w14:textId="63BB553F"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rPr>
              <w:t>Valid Statement</w:t>
            </w:r>
          </w:p>
        </w:tc>
        <w:tc>
          <w:tcPr>
            <w:tcW w:w="991" w:type="dxa"/>
            <w:gridSpan w:val="2"/>
            <w:tcBorders>
              <w:top w:val="nil"/>
              <w:left w:val="nil"/>
              <w:bottom w:val="nil"/>
              <w:right w:val="nil"/>
            </w:tcBorders>
            <w:vAlign w:val="center"/>
          </w:tcPr>
          <w:p w14:paraId="628D3D1C" w14:textId="508A63F3"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16</w:t>
            </w:r>
          </w:p>
        </w:tc>
        <w:tc>
          <w:tcPr>
            <w:tcW w:w="2188" w:type="dxa"/>
            <w:gridSpan w:val="2"/>
            <w:tcBorders>
              <w:top w:val="nil"/>
              <w:left w:val="nil"/>
              <w:bottom w:val="nil"/>
              <w:right w:val="nil"/>
            </w:tcBorders>
            <w:vAlign w:val="center"/>
          </w:tcPr>
          <w:p w14:paraId="5F6E536E" w14:textId="40E801DC"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 xml:space="preserve">r </w:t>
            </w:r>
            <w:r w:rsidRPr="00B6175C">
              <w:rPr>
                <w:rFonts w:asciiTheme="majorBidi" w:hAnsiTheme="majorBidi" w:cstheme="majorBidi"/>
              </w:rPr>
              <w:t>count</w:t>
            </w:r>
            <w:r w:rsidRPr="002F37CD">
              <w:rPr>
                <w:rFonts w:asciiTheme="majorBidi" w:hAnsiTheme="majorBidi" w:cstheme="majorBidi"/>
              </w:rPr>
              <w:t xml:space="preserve"> &gt; r tab</w:t>
            </w:r>
            <w:r>
              <w:rPr>
                <w:rFonts w:asciiTheme="majorBidi" w:hAnsiTheme="majorBidi" w:cstheme="majorBidi"/>
              </w:rPr>
              <w:t>le</w:t>
            </w:r>
          </w:p>
        </w:tc>
        <w:tc>
          <w:tcPr>
            <w:tcW w:w="1923" w:type="dxa"/>
            <w:gridSpan w:val="2"/>
            <w:tcBorders>
              <w:top w:val="nil"/>
              <w:left w:val="nil"/>
              <w:bottom w:val="nil"/>
            </w:tcBorders>
            <w:vAlign w:val="center"/>
          </w:tcPr>
          <w:p w14:paraId="26839142" w14:textId="3EA393CD"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rPr>
              <w:t>Used</w:t>
            </w:r>
          </w:p>
        </w:tc>
      </w:tr>
      <w:tr w:rsidR="002144EB" w14:paraId="37B2B26F" w14:textId="77777777" w:rsidTr="002144EB">
        <w:trPr>
          <w:jc w:val="center"/>
        </w:trPr>
        <w:tc>
          <w:tcPr>
            <w:tcW w:w="2410" w:type="dxa"/>
            <w:tcBorders>
              <w:top w:val="nil"/>
            </w:tcBorders>
            <w:vAlign w:val="center"/>
          </w:tcPr>
          <w:p w14:paraId="5D3ECEFB" w14:textId="24C22D87"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rPr>
              <w:t>Invalid Statement</w:t>
            </w:r>
          </w:p>
        </w:tc>
        <w:tc>
          <w:tcPr>
            <w:tcW w:w="991" w:type="dxa"/>
            <w:gridSpan w:val="2"/>
            <w:tcBorders>
              <w:top w:val="nil"/>
            </w:tcBorders>
            <w:vAlign w:val="center"/>
          </w:tcPr>
          <w:p w14:paraId="4D975AF5" w14:textId="68294228"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12</w:t>
            </w:r>
          </w:p>
        </w:tc>
        <w:tc>
          <w:tcPr>
            <w:tcW w:w="2188" w:type="dxa"/>
            <w:gridSpan w:val="2"/>
            <w:tcBorders>
              <w:top w:val="nil"/>
            </w:tcBorders>
            <w:vAlign w:val="center"/>
          </w:tcPr>
          <w:p w14:paraId="428958CC" w14:textId="1F9C35E2"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 xml:space="preserve">r </w:t>
            </w:r>
            <w:r w:rsidRPr="00B6175C">
              <w:rPr>
                <w:rFonts w:asciiTheme="majorBidi" w:hAnsiTheme="majorBidi" w:cstheme="majorBidi"/>
              </w:rPr>
              <w:t>count</w:t>
            </w:r>
            <w:r w:rsidRPr="002F37CD">
              <w:rPr>
                <w:rFonts w:asciiTheme="majorBidi" w:hAnsiTheme="majorBidi" w:cstheme="majorBidi"/>
              </w:rPr>
              <w:t xml:space="preserve"> &lt; r tab</w:t>
            </w:r>
            <w:r>
              <w:rPr>
                <w:rFonts w:asciiTheme="majorBidi" w:hAnsiTheme="majorBidi" w:cstheme="majorBidi"/>
              </w:rPr>
              <w:t>le</w:t>
            </w:r>
          </w:p>
        </w:tc>
        <w:tc>
          <w:tcPr>
            <w:tcW w:w="1923" w:type="dxa"/>
            <w:gridSpan w:val="2"/>
            <w:tcBorders>
              <w:top w:val="nil"/>
            </w:tcBorders>
            <w:vAlign w:val="center"/>
          </w:tcPr>
          <w:p w14:paraId="2A206440" w14:textId="2469EE86"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B6175C">
              <w:rPr>
                <w:rFonts w:asciiTheme="majorBidi" w:hAnsiTheme="majorBidi" w:cstheme="majorBidi"/>
              </w:rPr>
              <w:t>Discarded</w:t>
            </w:r>
          </w:p>
        </w:tc>
      </w:tr>
    </w:tbl>
    <w:p w14:paraId="37E3699F" w14:textId="77777777" w:rsidR="00B6175C" w:rsidRDefault="00B6175C" w:rsidP="00B6175C">
      <w:pPr>
        <w:pStyle w:val="ListParagraph"/>
        <w:widowControl w:val="0"/>
        <w:spacing w:line="229" w:lineRule="auto"/>
        <w:ind w:left="360"/>
        <w:jc w:val="both"/>
        <w:rPr>
          <w:rFonts w:asciiTheme="majorBidi" w:eastAsia="Times New Roman" w:hAnsiTheme="majorBidi" w:cstheme="majorBidi"/>
        </w:rPr>
      </w:pPr>
    </w:p>
    <w:p w14:paraId="21DC4D75" w14:textId="58920034" w:rsidR="002144EB" w:rsidRDefault="002144EB" w:rsidP="002144EB">
      <w:pPr>
        <w:pStyle w:val="ListParagraph"/>
        <w:widowControl w:val="0"/>
        <w:spacing w:line="229" w:lineRule="auto"/>
        <w:ind w:left="360"/>
        <w:jc w:val="both"/>
        <w:rPr>
          <w:rFonts w:asciiTheme="majorBidi" w:eastAsia="Times New Roman" w:hAnsiTheme="majorBidi" w:cstheme="majorBidi"/>
        </w:rPr>
      </w:pPr>
      <w:r w:rsidRPr="002144EB">
        <w:rPr>
          <w:rFonts w:asciiTheme="majorBidi" w:eastAsia="Times New Roman" w:hAnsiTheme="majorBidi" w:cstheme="majorBidi"/>
        </w:rPr>
        <w:t>The test results indicate that the questionnaire has very high reliability (Cronbach’s Alpha = 0.949) and is suitable for measuring study habits. Although the KMO value is only 0.585, the instrument remains suitable for further analysis.</w:t>
      </w:r>
    </w:p>
    <w:p w14:paraId="224535E3" w14:textId="2C38B9ED" w:rsidR="002144EB" w:rsidRPr="002144EB" w:rsidRDefault="002144EB" w:rsidP="002144EB">
      <w:pPr>
        <w:pStyle w:val="ListParagraph"/>
        <w:widowControl w:val="0"/>
        <w:numPr>
          <w:ilvl w:val="0"/>
          <w:numId w:val="4"/>
        </w:numPr>
        <w:spacing w:line="229" w:lineRule="auto"/>
        <w:ind w:left="360"/>
        <w:jc w:val="both"/>
        <w:rPr>
          <w:rFonts w:asciiTheme="majorBidi" w:eastAsia="Times New Roman" w:hAnsiTheme="majorBidi" w:cstheme="majorBidi"/>
        </w:rPr>
      </w:pPr>
      <w:r w:rsidRPr="002144EB">
        <w:rPr>
          <w:rFonts w:asciiTheme="majorBidi" w:hAnsiTheme="majorBidi" w:cstheme="majorBidi"/>
        </w:rPr>
        <w:t xml:space="preserve">Profile of </w:t>
      </w:r>
      <w:r w:rsidRPr="002144EB">
        <w:rPr>
          <w:rFonts w:asciiTheme="majorBidi" w:eastAsia="Times New Roman" w:hAnsiTheme="majorBidi" w:cstheme="majorBidi"/>
        </w:rPr>
        <w:t>pupils’</w:t>
      </w:r>
      <w:r w:rsidRPr="002144EB">
        <w:rPr>
          <w:rFonts w:asciiTheme="majorBidi" w:hAnsiTheme="majorBidi" w:cstheme="majorBidi"/>
        </w:rPr>
        <w:t xml:space="preserve"> mathematics learning habits</w:t>
      </w:r>
    </w:p>
    <w:p w14:paraId="562F70C7" w14:textId="00777CA1" w:rsidR="002144EB" w:rsidRDefault="002144EB" w:rsidP="002144EB">
      <w:pPr>
        <w:pStyle w:val="ListParagraph"/>
        <w:widowControl w:val="0"/>
        <w:spacing w:line="229" w:lineRule="auto"/>
        <w:ind w:left="360"/>
        <w:jc w:val="both"/>
        <w:rPr>
          <w:rFonts w:asciiTheme="majorBidi" w:eastAsia="Times New Roman" w:hAnsiTheme="majorBidi" w:cstheme="majorBidi"/>
        </w:rPr>
      </w:pPr>
      <w:r w:rsidRPr="002144EB">
        <w:rPr>
          <w:rFonts w:asciiTheme="majorBidi" w:eastAsia="Times New Roman" w:hAnsiTheme="majorBidi" w:cstheme="majorBidi"/>
        </w:rPr>
        <w:t>Following the screening of valid statements, the results of the analysis of pupils’ mathematics learning habits were obtained. The data were categorised according to four main aspects of learning habits relevant to character values:</w:t>
      </w:r>
    </w:p>
    <w:p w14:paraId="03414FFC" w14:textId="1307B77A" w:rsidR="002144EB" w:rsidRPr="002144EB" w:rsidRDefault="002144EB" w:rsidP="002144EB">
      <w:pPr>
        <w:pStyle w:val="ListParagraph"/>
        <w:widowControl w:val="0"/>
        <w:spacing w:line="229" w:lineRule="auto"/>
        <w:ind w:left="360"/>
        <w:jc w:val="center"/>
        <w:rPr>
          <w:rFonts w:asciiTheme="majorBidi" w:eastAsia="Times New Roman" w:hAnsiTheme="majorBidi" w:cstheme="majorBidi"/>
          <w:b/>
          <w:bCs/>
        </w:rPr>
      </w:pPr>
      <w:r w:rsidRPr="002144EB">
        <w:rPr>
          <w:rFonts w:asciiTheme="majorBidi" w:eastAsia="Times New Roman" w:hAnsiTheme="majorBidi" w:cstheme="majorBidi"/>
          <w:b/>
          <w:bCs/>
        </w:rPr>
        <w:t>Table 2. Average Study Habit Scores by Character Aspect</w:t>
      </w:r>
    </w:p>
    <w:tbl>
      <w:tblPr>
        <w:tblStyle w:val="TableGrid"/>
        <w:tblW w:w="9251"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3548"/>
        <w:gridCol w:w="1990"/>
        <w:gridCol w:w="1727"/>
        <w:gridCol w:w="1358"/>
      </w:tblGrid>
      <w:tr w:rsidR="002144EB" w14:paraId="255485B5" w14:textId="77777777" w:rsidTr="00AB4427">
        <w:tc>
          <w:tcPr>
            <w:tcW w:w="628" w:type="dxa"/>
            <w:tcBorders>
              <w:top w:val="single" w:sz="4" w:space="0" w:color="auto"/>
              <w:bottom w:val="single" w:sz="4" w:space="0" w:color="auto"/>
            </w:tcBorders>
            <w:vAlign w:val="center"/>
          </w:tcPr>
          <w:p w14:paraId="62F7C966" w14:textId="572F89D1"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b/>
                <w:bCs/>
              </w:rPr>
              <w:t>No</w:t>
            </w:r>
          </w:p>
        </w:tc>
        <w:tc>
          <w:tcPr>
            <w:tcW w:w="3548" w:type="dxa"/>
            <w:tcBorders>
              <w:top w:val="single" w:sz="4" w:space="0" w:color="auto"/>
              <w:bottom w:val="single" w:sz="4" w:space="0" w:color="auto"/>
            </w:tcBorders>
            <w:vAlign w:val="center"/>
          </w:tcPr>
          <w:p w14:paraId="56F63B13" w14:textId="76F20999"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b/>
                <w:bCs/>
              </w:rPr>
              <w:t>Aspects of Study Habits</w:t>
            </w:r>
          </w:p>
        </w:tc>
        <w:tc>
          <w:tcPr>
            <w:tcW w:w="1990" w:type="dxa"/>
            <w:tcBorders>
              <w:top w:val="single" w:sz="4" w:space="0" w:color="auto"/>
              <w:bottom w:val="single" w:sz="4" w:space="0" w:color="auto"/>
            </w:tcBorders>
            <w:vAlign w:val="center"/>
          </w:tcPr>
          <w:p w14:paraId="3F452CC2" w14:textId="04C9F64C"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b/>
                <w:bCs/>
              </w:rPr>
              <w:t>Character Values</w:t>
            </w:r>
          </w:p>
        </w:tc>
        <w:tc>
          <w:tcPr>
            <w:tcW w:w="1727" w:type="dxa"/>
            <w:tcBorders>
              <w:top w:val="single" w:sz="4" w:space="0" w:color="auto"/>
              <w:bottom w:val="single" w:sz="4" w:space="0" w:color="auto"/>
            </w:tcBorders>
            <w:vAlign w:val="center"/>
          </w:tcPr>
          <w:p w14:paraId="5BD2D4AF" w14:textId="1DED314C"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b/>
                <w:bCs/>
              </w:rPr>
              <w:t>Average Score</w:t>
            </w:r>
          </w:p>
        </w:tc>
        <w:tc>
          <w:tcPr>
            <w:tcW w:w="1358" w:type="dxa"/>
            <w:tcBorders>
              <w:top w:val="single" w:sz="4" w:space="0" w:color="auto"/>
              <w:bottom w:val="single" w:sz="4" w:space="0" w:color="auto"/>
            </w:tcBorders>
            <w:vAlign w:val="center"/>
          </w:tcPr>
          <w:p w14:paraId="42361EFB" w14:textId="47ADC824"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b/>
                <w:bCs/>
              </w:rPr>
              <w:t>Category</w:t>
            </w:r>
          </w:p>
        </w:tc>
      </w:tr>
      <w:tr w:rsidR="002144EB" w14:paraId="70D655E3" w14:textId="77777777" w:rsidTr="00AB4427">
        <w:tc>
          <w:tcPr>
            <w:tcW w:w="628" w:type="dxa"/>
            <w:tcBorders>
              <w:top w:val="single" w:sz="4" w:space="0" w:color="auto"/>
            </w:tcBorders>
            <w:vAlign w:val="center"/>
          </w:tcPr>
          <w:p w14:paraId="4D73F80F" w14:textId="296445CC"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1</w:t>
            </w:r>
          </w:p>
        </w:tc>
        <w:tc>
          <w:tcPr>
            <w:tcW w:w="3548" w:type="dxa"/>
            <w:tcBorders>
              <w:top w:val="single" w:sz="4" w:space="0" w:color="auto"/>
            </w:tcBorders>
            <w:vAlign w:val="center"/>
          </w:tcPr>
          <w:p w14:paraId="75002526" w14:textId="44DEF208"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Diligence in carrying out tasks</w:t>
            </w:r>
          </w:p>
        </w:tc>
        <w:tc>
          <w:tcPr>
            <w:tcW w:w="1990" w:type="dxa"/>
            <w:tcBorders>
              <w:top w:val="single" w:sz="4" w:space="0" w:color="auto"/>
            </w:tcBorders>
            <w:vAlign w:val="center"/>
          </w:tcPr>
          <w:p w14:paraId="219E0A82" w14:textId="76AFFD32"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Responsibility</w:t>
            </w:r>
          </w:p>
        </w:tc>
        <w:tc>
          <w:tcPr>
            <w:tcW w:w="1727" w:type="dxa"/>
            <w:tcBorders>
              <w:top w:val="single" w:sz="4" w:space="0" w:color="auto"/>
            </w:tcBorders>
            <w:vAlign w:val="center"/>
          </w:tcPr>
          <w:p w14:paraId="4705DFB0" w14:textId="4001D356"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4,21</w:t>
            </w:r>
          </w:p>
        </w:tc>
        <w:tc>
          <w:tcPr>
            <w:tcW w:w="1358" w:type="dxa"/>
            <w:tcBorders>
              <w:top w:val="single" w:sz="4" w:space="0" w:color="auto"/>
            </w:tcBorders>
            <w:vAlign w:val="center"/>
          </w:tcPr>
          <w:p w14:paraId="47634132" w14:textId="0E5859A2"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Very good</w:t>
            </w:r>
          </w:p>
        </w:tc>
      </w:tr>
      <w:tr w:rsidR="002144EB" w14:paraId="0B85B0FA" w14:textId="77777777" w:rsidTr="00AB4427">
        <w:tc>
          <w:tcPr>
            <w:tcW w:w="628" w:type="dxa"/>
            <w:vAlign w:val="center"/>
          </w:tcPr>
          <w:p w14:paraId="4C5197AB" w14:textId="4D42C493"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2</w:t>
            </w:r>
          </w:p>
        </w:tc>
        <w:tc>
          <w:tcPr>
            <w:tcW w:w="3548" w:type="dxa"/>
            <w:vAlign w:val="center"/>
          </w:tcPr>
          <w:p w14:paraId="71345F73" w14:textId="5CACD3E7"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Study discipline</w:t>
            </w:r>
          </w:p>
        </w:tc>
        <w:tc>
          <w:tcPr>
            <w:tcW w:w="1990" w:type="dxa"/>
            <w:vAlign w:val="center"/>
          </w:tcPr>
          <w:p w14:paraId="013EA0F0" w14:textId="2801CB78"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Discipline</w:t>
            </w:r>
          </w:p>
        </w:tc>
        <w:tc>
          <w:tcPr>
            <w:tcW w:w="1727" w:type="dxa"/>
            <w:vAlign w:val="center"/>
          </w:tcPr>
          <w:p w14:paraId="5AB0C8DD" w14:textId="1BDB3608"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3,88</w:t>
            </w:r>
          </w:p>
        </w:tc>
        <w:tc>
          <w:tcPr>
            <w:tcW w:w="1358" w:type="dxa"/>
            <w:vAlign w:val="center"/>
          </w:tcPr>
          <w:p w14:paraId="4B16B089" w14:textId="48292555" w:rsidR="002144EB" w:rsidRDefault="00AB4427" w:rsidP="002144EB">
            <w:pPr>
              <w:pStyle w:val="ListParagraph"/>
              <w:widowControl w:val="0"/>
              <w:spacing w:line="229" w:lineRule="auto"/>
              <w:ind w:left="0"/>
              <w:jc w:val="both"/>
              <w:rPr>
                <w:rFonts w:asciiTheme="majorBidi" w:eastAsia="Times New Roman" w:hAnsiTheme="majorBidi" w:cstheme="majorBidi"/>
              </w:rPr>
            </w:pPr>
            <w:r>
              <w:rPr>
                <w:rFonts w:asciiTheme="majorBidi" w:hAnsiTheme="majorBidi" w:cstheme="majorBidi"/>
              </w:rPr>
              <w:t>Good</w:t>
            </w:r>
          </w:p>
        </w:tc>
      </w:tr>
      <w:tr w:rsidR="002144EB" w14:paraId="5DEFE3CB" w14:textId="77777777" w:rsidTr="00AB4427">
        <w:tc>
          <w:tcPr>
            <w:tcW w:w="628" w:type="dxa"/>
            <w:vAlign w:val="center"/>
          </w:tcPr>
          <w:p w14:paraId="6EA44844" w14:textId="035AE655"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3</w:t>
            </w:r>
          </w:p>
        </w:tc>
        <w:tc>
          <w:tcPr>
            <w:tcW w:w="3548" w:type="dxa"/>
            <w:vAlign w:val="center"/>
          </w:tcPr>
          <w:p w14:paraId="2F7541E7" w14:textId="6B54B7F6"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Honesty in exams/assignments</w:t>
            </w:r>
          </w:p>
        </w:tc>
        <w:tc>
          <w:tcPr>
            <w:tcW w:w="1990" w:type="dxa"/>
            <w:vAlign w:val="center"/>
          </w:tcPr>
          <w:p w14:paraId="406E15A8" w14:textId="64E8ECFD"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Honesty</w:t>
            </w:r>
          </w:p>
        </w:tc>
        <w:tc>
          <w:tcPr>
            <w:tcW w:w="1727" w:type="dxa"/>
            <w:vAlign w:val="center"/>
          </w:tcPr>
          <w:p w14:paraId="5A41A698" w14:textId="5B4933A6"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3,67</w:t>
            </w:r>
          </w:p>
        </w:tc>
        <w:tc>
          <w:tcPr>
            <w:tcW w:w="1358" w:type="dxa"/>
            <w:vAlign w:val="center"/>
          </w:tcPr>
          <w:p w14:paraId="23A109E2" w14:textId="7741D8F6" w:rsidR="002144EB" w:rsidRDefault="00AB4427" w:rsidP="002144EB">
            <w:pPr>
              <w:pStyle w:val="ListParagraph"/>
              <w:widowControl w:val="0"/>
              <w:spacing w:line="229" w:lineRule="auto"/>
              <w:ind w:left="0"/>
              <w:jc w:val="both"/>
              <w:rPr>
                <w:rFonts w:asciiTheme="majorBidi" w:eastAsia="Times New Roman" w:hAnsiTheme="majorBidi" w:cstheme="majorBidi"/>
              </w:rPr>
            </w:pPr>
            <w:r>
              <w:rPr>
                <w:rFonts w:asciiTheme="majorBidi" w:hAnsiTheme="majorBidi" w:cstheme="majorBidi"/>
              </w:rPr>
              <w:t>Good</w:t>
            </w:r>
          </w:p>
        </w:tc>
      </w:tr>
      <w:tr w:rsidR="002144EB" w14:paraId="193DBF1C" w14:textId="77777777" w:rsidTr="00AB4427">
        <w:tc>
          <w:tcPr>
            <w:tcW w:w="628" w:type="dxa"/>
            <w:vAlign w:val="center"/>
          </w:tcPr>
          <w:p w14:paraId="7D576781" w14:textId="595A0DE2" w:rsidR="002144EB" w:rsidRDefault="002144EB" w:rsidP="002144EB">
            <w:pPr>
              <w:pStyle w:val="ListParagraph"/>
              <w:widowControl w:val="0"/>
              <w:spacing w:line="229" w:lineRule="auto"/>
              <w:ind w:left="0"/>
              <w:jc w:val="both"/>
              <w:rPr>
                <w:rFonts w:asciiTheme="majorBidi" w:eastAsia="Times New Roman" w:hAnsiTheme="majorBidi" w:cstheme="majorBidi"/>
              </w:rPr>
            </w:pPr>
            <w:r w:rsidRPr="002F37CD">
              <w:rPr>
                <w:rFonts w:asciiTheme="majorBidi" w:hAnsiTheme="majorBidi" w:cstheme="majorBidi"/>
              </w:rPr>
              <w:t>4</w:t>
            </w:r>
          </w:p>
        </w:tc>
        <w:tc>
          <w:tcPr>
            <w:tcW w:w="3548" w:type="dxa"/>
            <w:vAlign w:val="center"/>
          </w:tcPr>
          <w:p w14:paraId="1D2AC790" w14:textId="10BF18B0"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Initiative to ask questions/understand</w:t>
            </w:r>
          </w:p>
        </w:tc>
        <w:tc>
          <w:tcPr>
            <w:tcW w:w="1990" w:type="dxa"/>
            <w:vAlign w:val="center"/>
          </w:tcPr>
          <w:p w14:paraId="0D3690FE" w14:textId="5925CF0E" w:rsidR="002144EB" w:rsidRDefault="00AB4427" w:rsidP="002144EB">
            <w:pPr>
              <w:pStyle w:val="ListParagraph"/>
              <w:widowControl w:val="0"/>
              <w:spacing w:line="229" w:lineRule="auto"/>
              <w:ind w:left="0"/>
              <w:jc w:val="both"/>
              <w:rPr>
                <w:rFonts w:asciiTheme="majorBidi" w:eastAsia="Times New Roman" w:hAnsiTheme="majorBidi" w:cstheme="majorBidi"/>
              </w:rPr>
            </w:pPr>
            <w:r w:rsidRPr="00AB4427">
              <w:rPr>
                <w:rFonts w:asciiTheme="majorBidi" w:hAnsiTheme="majorBidi" w:cstheme="majorBidi"/>
              </w:rPr>
              <w:t>Hard work</w:t>
            </w:r>
          </w:p>
        </w:tc>
        <w:tc>
          <w:tcPr>
            <w:tcW w:w="1727" w:type="dxa"/>
            <w:vAlign w:val="center"/>
          </w:tcPr>
          <w:p w14:paraId="0165242A" w14:textId="103E1941" w:rsidR="002144EB" w:rsidRDefault="002144EB" w:rsidP="002144EB">
            <w:pPr>
              <w:pStyle w:val="ListParagraph"/>
              <w:widowControl w:val="0"/>
              <w:spacing w:line="229" w:lineRule="auto"/>
              <w:ind w:left="0"/>
              <w:jc w:val="center"/>
              <w:rPr>
                <w:rFonts w:asciiTheme="majorBidi" w:eastAsia="Times New Roman" w:hAnsiTheme="majorBidi" w:cstheme="majorBidi"/>
              </w:rPr>
            </w:pPr>
            <w:r w:rsidRPr="002F37CD">
              <w:rPr>
                <w:rFonts w:asciiTheme="majorBidi" w:hAnsiTheme="majorBidi" w:cstheme="majorBidi"/>
              </w:rPr>
              <w:t>3,45</w:t>
            </w:r>
          </w:p>
        </w:tc>
        <w:tc>
          <w:tcPr>
            <w:tcW w:w="1358" w:type="dxa"/>
            <w:vAlign w:val="center"/>
          </w:tcPr>
          <w:p w14:paraId="2029021A" w14:textId="3E19D8EF" w:rsidR="002144EB" w:rsidRDefault="00AB4427" w:rsidP="002144EB">
            <w:pPr>
              <w:pStyle w:val="ListParagraph"/>
              <w:widowControl w:val="0"/>
              <w:spacing w:line="229" w:lineRule="auto"/>
              <w:ind w:left="0" w:right="-12"/>
              <w:jc w:val="both"/>
              <w:rPr>
                <w:rFonts w:asciiTheme="majorBidi" w:eastAsia="Times New Roman" w:hAnsiTheme="majorBidi" w:cstheme="majorBidi"/>
              </w:rPr>
            </w:pPr>
            <w:r w:rsidRPr="00AB4427">
              <w:rPr>
                <w:rFonts w:asciiTheme="majorBidi" w:hAnsiTheme="majorBidi" w:cstheme="majorBidi"/>
              </w:rPr>
              <w:t>Enough</w:t>
            </w:r>
          </w:p>
        </w:tc>
      </w:tr>
    </w:tbl>
    <w:p w14:paraId="72FAAEE4" w14:textId="77777777" w:rsidR="002144EB" w:rsidRPr="002144EB" w:rsidRDefault="002144EB" w:rsidP="002144EB">
      <w:pPr>
        <w:pStyle w:val="ListParagraph"/>
        <w:widowControl w:val="0"/>
        <w:spacing w:line="229" w:lineRule="auto"/>
        <w:ind w:left="360"/>
        <w:rPr>
          <w:rFonts w:asciiTheme="majorBidi" w:eastAsia="Times New Roman" w:hAnsiTheme="majorBidi" w:cstheme="majorBidi"/>
        </w:rPr>
      </w:pPr>
      <w:r w:rsidRPr="002144EB">
        <w:rPr>
          <w:rFonts w:asciiTheme="majorBidi" w:eastAsia="Times New Roman" w:hAnsiTheme="majorBidi" w:cstheme="majorBidi"/>
        </w:rPr>
        <w:t xml:space="preserve">Category: (a) 4.20–5.00 = Very Good; (b) 3.40–4.19 = Good; (c) 2.60–3.39 = Fair; (d) </w:t>
      </w:r>
    </w:p>
    <w:p w14:paraId="0D62401D" w14:textId="161458CB" w:rsidR="00B6175C" w:rsidRDefault="002144EB" w:rsidP="002144EB">
      <w:pPr>
        <w:pStyle w:val="ListParagraph"/>
        <w:widowControl w:val="0"/>
        <w:spacing w:line="229" w:lineRule="auto"/>
        <w:ind w:left="360"/>
        <w:jc w:val="both"/>
        <w:rPr>
          <w:rFonts w:asciiTheme="majorBidi" w:eastAsia="Times New Roman" w:hAnsiTheme="majorBidi" w:cstheme="majorBidi"/>
        </w:rPr>
      </w:pPr>
      <w:r w:rsidRPr="002144EB">
        <w:rPr>
          <w:rFonts w:asciiTheme="majorBidi" w:eastAsia="Times New Roman" w:hAnsiTheme="majorBidi" w:cstheme="majorBidi"/>
        </w:rPr>
        <w:t>&lt; 2.60 = Poor</w:t>
      </w:r>
    </w:p>
    <w:p w14:paraId="44C990FC" w14:textId="66CB3FE7" w:rsidR="00B6175C" w:rsidRDefault="002144EB" w:rsidP="002144EB">
      <w:pPr>
        <w:pStyle w:val="ListParagraph"/>
        <w:widowControl w:val="0"/>
        <w:numPr>
          <w:ilvl w:val="0"/>
          <w:numId w:val="4"/>
        </w:numPr>
        <w:spacing w:line="229" w:lineRule="auto"/>
        <w:jc w:val="both"/>
        <w:rPr>
          <w:rFonts w:asciiTheme="majorBidi" w:eastAsia="Times New Roman" w:hAnsiTheme="majorBidi" w:cstheme="majorBidi"/>
        </w:rPr>
      </w:pPr>
      <w:r w:rsidRPr="002144EB">
        <w:rPr>
          <w:rFonts w:asciiTheme="majorBidi" w:eastAsia="Times New Roman" w:hAnsiTheme="majorBidi" w:cstheme="majorBidi"/>
        </w:rPr>
        <w:t>Data Visualisation</w:t>
      </w:r>
    </w:p>
    <w:p w14:paraId="4CE7391B" w14:textId="29E45118" w:rsidR="002144EB" w:rsidRDefault="002144EB" w:rsidP="002144EB">
      <w:pPr>
        <w:widowControl w:val="0"/>
        <w:spacing w:line="229" w:lineRule="auto"/>
        <w:ind w:left="360"/>
        <w:jc w:val="both"/>
        <w:rPr>
          <w:rFonts w:asciiTheme="majorBidi" w:eastAsia="Times New Roman" w:hAnsiTheme="majorBidi" w:cstheme="majorBidi"/>
        </w:rPr>
      </w:pPr>
      <w:r w:rsidRPr="002144EB">
        <w:rPr>
          <w:rFonts w:asciiTheme="majorBidi" w:eastAsia="Times New Roman" w:hAnsiTheme="majorBidi" w:cstheme="majorBidi"/>
        </w:rPr>
        <w:t>To illustrate the students’ learning habits, the bar chart below is based on the data in Table 2.</w:t>
      </w:r>
    </w:p>
    <w:p w14:paraId="5C226372" w14:textId="5BAA3F21" w:rsidR="002144EB" w:rsidRPr="002144EB" w:rsidRDefault="002144EB" w:rsidP="002144EB">
      <w:pPr>
        <w:widowControl w:val="0"/>
        <w:spacing w:line="229" w:lineRule="auto"/>
        <w:ind w:left="360"/>
        <w:jc w:val="both"/>
        <w:rPr>
          <w:rFonts w:asciiTheme="majorBidi" w:eastAsia="Times New Roman" w:hAnsiTheme="majorBidi" w:cstheme="majorBidi"/>
        </w:rPr>
      </w:pPr>
      <w:r w:rsidRPr="002F37CD">
        <w:rPr>
          <w:rFonts w:asciiTheme="majorBidi" w:hAnsiTheme="majorBidi" w:cstheme="majorBidi"/>
          <w:b/>
          <w:bCs/>
          <w:noProof/>
          <w:lang w:val="en-US"/>
        </w:rPr>
        <w:drawing>
          <wp:anchor distT="0" distB="0" distL="114300" distR="114300" simplePos="0" relativeHeight="251659264" behindDoc="0" locked="0" layoutInCell="1" allowOverlap="1" wp14:anchorId="53CD33FC" wp14:editId="04FC76F7">
            <wp:simplePos x="0" y="0"/>
            <wp:positionH relativeFrom="column">
              <wp:posOffset>1198245</wp:posOffset>
            </wp:positionH>
            <wp:positionV relativeFrom="paragraph">
              <wp:posOffset>55245</wp:posOffset>
            </wp:positionV>
            <wp:extent cx="3835400" cy="2309495"/>
            <wp:effectExtent l="0" t="0" r="0" b="0"/>
            <wp:wrapSquare wrapText="bothSides"/>
            <wp:docPr id="1032225331" name="Picture 2" descr="Keluaran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eluaran gamb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5400" cy="2309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1040D" w14:textId="2721EDBD"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509D52D1" w14:textId="023CB393"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296D5D71" w14:textId="7A3B1355"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084EA878" w14:textId="4BB538F4"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73B6B6AC" w14:textId="7F7A2365"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41DE8C69"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2A635263"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565E2C2D"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04CCE000"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7802BB8F"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531A1593"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4FE6F8E9"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5D69A28D"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376F733D"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51711F4F" w14:textId="77777777" w:rsidR="002144EB" w:rsidRDefault="002144EB" w:rsidP="00B6175C">
      <w:pPr>
        <w:pStyle w:val="ListParagraph"/>
        <w:widowControl w:val="0"/>
        <w:spacing w:line="229" w:lineRule="auto"/>
        <w:ind w:left="360"/>
        <w:jc w:val="both"/>
        <w:rPr>
          <w:rFonts w:asciiTheme="majorBidi" w:eastAsia="Times New Roman" w:hAnsiTheme="majorBidi" w:cstheme="majorBidi"/>
        </w:rPr>
      </w:pPr>
    </w:p>
    <w:p w14:paraId="350D39E0" w14:textId="59CE72A0" w:rsidR="002144EB" w:rsidRDefault="002144EB" w:rsidP="002144EB">
      <w:pPr>
        <w:pStyle w:val="ListParagraph"/>
        <w:widowControl w:val="0"/>
        <w:spacing w:line="229" w:lineRule="auto"/>
        <w:ind w:left="360"/>
        <w:jc w:val="center"/>
        <w:rPr>
          <w:rFonts w:asciiTheme="majorBidi" w:eastAsia="Times New Roman" w:hAnsiTheme="majorBidi" w:cstheme="majorBidi"/>
        </w:rPr>
      </w:pPr>
      <w:r w:rsidRPr="002144EB">
        <w:rPr>
          <w:rFonts w:asciiTheme="majorBidi" w:eastAsia="Times New Roman" w:hAnsiTheme="majorBidi" w:cstheme="majorBidi"/>
        </w:rPr>
        <w:t>Figure 1. Profile of pupils’ mathematics learning habits</w:t>
      </w:r>
    </w:p>
    <w:p w14:paraId="56747260" w14:textId="701B6FF0" w:rsidR="00AB4427" w:rsidRDefault="00AB4427" w:rsidP="00AB4427">
      <w:pPr>
        <w:pStyle w:val="ListParagraph"/>
        <w:widowControl w:val="0"/>
        <w:spacing w:line="229" w:lineRule="auto"/>
        <w:ind w:left="360"/>
        <w:jc w:val="both"/>
        <w:rPr>
          <w:rFonts w:asciiTheme="majorBidi" w:eastAsia="Times New Roman" w:hAnsiTheme="majorBidi" w:cstheme="majorBidi"/>
        </w:rPr>
      </w:pPr>
      <w:r w:rsidRPr="00AB4427">
        <w:rPr>
          <w:rFonts w:asciiTheme="majorBidi" w:eastAsia="Times New Roman" w:hAnsiTheme="majorBidi" w:cstheme="majorBidi"/>
        </w:rPr>
        <w:t>The figure above is a bar chart illustrating pupils’ mathematics learning habits based on character traits: (a) Responsibility (perseverance in completing tasks) ranks highest; (b) Hard work (initiative to understand) has the lowest score, although it still falls within the ‘Good’ category</w:t>
      </w:r>
      <w:r>
        <w:rPr>
          <w:rFonts w:asciiTheme="majorBidi" w:eastAsia="Times New Roman" w:hAnsiTheme="majorBidi" w:cstheme="majorBidi"/>
        </w:rPr>
        <w:t>.</w:t>
      </w:r>
    </w:p>
    <w:p w14:paraId="547A9933" w14:textId="77777777" w:rsidR="00AB4427" w:rsidRDefault="00AB4427" w:rsidP="00AB4427">
      <w:pPr>
        <w:pStyle w:val="ListParagraph"/>
        <w:widowControl w:val="0"/>
        <w:spacing w:line="229" w:lineRule="auto"/>
        <w:ind w:left="360"/>
        <w:jc w:val="both"/>
        <w:rPr>
          <w:rFonts w:asciiTheme="majorBidi" w:eastAsia="Times New Roman" w:hAnsiTheme="majorBidi" w:cstheme="majorBidi"/>
        </w:rPr>
      </w:pPr>
    </w:p>
    <w:p w14:paraId="60162016" w14:textId="354E2ED5" w:rsidR="00AB4427" w:rsidRDefault="00AB4427" w:rsidP="00AB4427">
      <w:pPr>
        <w:pStyle w:val="ListParagraph"/>
        <w:widowControl w:val="0"/>
        <w:spacing w:line="229" w:lineRule="auto"/>
        <w:ind w:left="360"/>
        <w:jc w:val="both"/>
        <w:rPr>
          <w:rFonts w:asciiTheme="majorBidi" w:eastAsia="Times New Roman" w:hAnsiTheme="majorBidi" w:cstheme="majorBidi"/>
          <w:b/>
          <w:bCs/>
        </w:rPr>
      </w:pPr>
      <w:r w:rsidRPr="00AB4427">
        <w:rPr>
          <w:rFonts w:asciiTheme="majorBidi" w:eastAsia="Times New Roman" w:hAnsiTheme="majorBidi" w:cstheme="majorBidi"/>
          <w:b/>
          <w:bCs/>
        </w:rPr>
        <w:t>Discussion</w:t>
      </w:r>
    </w:p>
    <w:p w14:paraId="7F8EA008" w14:textId="77777777" w:rsidR="00AB4427" w:rsidRPr="00AB4427" w:rsidRDefault="00AB4427" w:rsidP="00AB4427">
      <w:pPr>
        <w:pStyle w:val="ListParagraph"/>
        <w:widowControl w:val="0"/>
        <w:spacing w:line="228" w:lineRule="auto"/>
        <w:ind w:left="357" w:firstLine="720"/>
        <w:jc w:val="both"/>
        <w:rPr>
          <w:rFonts w:asciiTheme="majorBidi" w:eastAsia="Times New Roman" w:hAnsiTheme="majorBidi" w:cstheme="majorBidi"/>
        </w:rPr>
      </w:pPr>
      <w:r w:rsidRPr="00AB4427">
        <w:rPr>
          <w:rFonts w:asciiTheme="majorBidi" w:eastAsia="Times New Roman" w:hAnsiTheme="majorBidi" w:cstheme="majorBidi"/>
        </w:rPr>
        <w:t>Based on the research findings presented, it can be concluded that the majority of students have mathematics learning habits that reflect positive character values (</w:t>
      </w:r>
      <w:proofErr w:type="spellStart"/>
      <w:r w:rsidRPr="00AB4427">
        <w:rPr>
          <w:rFonts w:asciiTheme="majorBidi" w:eastAsia="Times New Roman" w:hAnsiTheme="majorBidi" w:cstheme="majorBidi"/>
        </w:rPr>
        <w:t>Raesi</w:t>
      </w:r>
      <w:proofErr w:type="spellEnd"/>
      <w:r w:rsidRPr="00AB4427">
        <w:rPr>
          <w:rFonts w:asciiTheme="majorBidi" w:eastAsia="Times New Roman" w:hAnsiTheme="majorBidi" w:cstheme="majorBidi"/>
        </w:rPr>
        <w:t xml:space="preserve"> &amp; Abdulkarim, 2023; </w:t>
      </w:r>
      <w:proofErr w:type="spellStart"/>
      <w:r w:rsidRPr="00AB4427">
        <w:rPr>
          <w:rFonts w:asciiTheme="majorBidi" w:eastAsia="Times New Roman" w:hAnsiTheme="majorBidi" w:cstheme="majorBidi"/>
        </w:rPr>
        <w:t>Ludfiana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Minsih</w:t>
      </w:r>
      <w:proofErr w:type="spellEnd"/>
      <w:r w:rsidRPr="00AB4427">
        <w:rPr>
          <w:rFonts w:asciiTheme="majorBidi" w:eastAsia="Times New Roman" w:hAnsiTheme="majorBidi" w:cstheme="majorBidi"/>
        </w:rPr>
        <w:t xml:space="preserve">, 2023; </w:t>
      </w:r>
      <w:proofErr w:type="spellStart"/>
      <w:r w:rsidRPr="00AB4427">
        <w:rPr>
          <w:rFonts w:asciiTheme="majorBidi" w:eastAsia="Times New Roman" w:hAnsiTheme="majorBidi" w:cstheme="majorBidi"/>
        </w:rPr>
        <w:t>Adhiyatna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Assidik</w:t>
      </w:r>
      <w:proofErr w:type="spellEnd"/>
      <w:r w:rsidRPr="00AB4427">
        <w:rPr>
          <w:rFonts w:asciiTheme="majorBidi" w:eastAsia="Times New Roman" w:hAnsiTheme="majorBidi" w:cstheme="majorBidi"/>
        </w:rPr>
        <w:t>, 2023). The aspect of responsibility scored the highest (4.21), indicating that students tend to be diligent in completing mathematics tasks independently and on time (</w:t>
      </w:r>
      <w:proofErr w:type="spellStart"/>
      <w:r w:rsidRPr="00AB4427">
        <w:rPr>
          <w:rFonts w:asciiTheme="majorBidi" w:eastAsia="Times New Roman" w:hAnsiTheme="majorBidi" w:cstheme="majorBidi"/>
        </w:rPr>
        <w:t>Raesi</w:t>
      </w:r>
      <w:proofErr w:type="spellEnd"/>
      <w:r w:rsidRPr="00AB4427">
        <w:rPr>
          <w:rFonts w:asciiTheme="majorBidi" w:eastAsia="Times New Roman" w:hAnsiTheme="majorBidi" w:cstheme="majorBidi"/>
        </w:rPr>
        <w:t xml:space="preserve"> &amp; Abdulkarim, 2023; </w:t>
      </w:r>
      <w:proofErr w:type="spellStart"/>
      <w:r w:rsidRPr="00AB4427">
        <w:rPr>
          <w:rFonts w:asciiTheme="majorBidi" w:eastAsia="Times New Roman" w:hAnsiTheme="majorBidi" w:cstheme="majorBidi"/>
        </w:rPr>
        <w:t>Ludfiana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Minsih</w:t>
      </w:r>
      <w:proofErr w:type="spellEnd"/>
      <w:r w:rsidRPr="00AB4427">
        <w:rPr>
          <w:rFonts w:asciiTheme="majorBidi" w:eastAsia="Times New Roman" w:hAnsiTheme="majorBidi" w:cstheme="majorBidi"/>
        </w:rPr>
        <w:t xml:space="preserve">, 2023; </w:t>
      </w:r>
      <w:proofErr w:type="spellStart"/>
      <w:r w:rsidRPr="00AB4427">
        <w:rPr>
          <w:rFonts w:asciiTheme="majorBidi" w:eastAsia="Times New Roman" w:hAnsiTheme="majorBidi" w:cstheme="majorBidi"/>
        </w:rPr>
        <w:t>Adhiyatna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Assidik</w:t>
      </w:r>
      <w:proofErr w:type="spellEnd"/>
      <w:r w:rsidRPr="00AB4427">
        <w:rPr>
          <w:rFonts w:asciiTheme="majorBidi" w:eastAsia="Times New Roman" w:hAnsiTheme="majorBidi" w:cstheme="majorBidi"/>
        </w:rPr>
        <w:t>, 2023). This reflects the well-established instilling of the character value of responsibility within the school.</w:t>
      </w:r>
    </w:p>
    <w:p w14:paraId="00992B6E" w14:textId="1D9E4300" w:rsidR="00AB4427" w:rsidRDefault="00AB4427" w:rsidP="00AB4427">
      <w:pPr>
        <w:pStyle w:val="ListParagraph"/>
        <w:widowControl w:val="0"/>
        <w:spacing w:line="228" w:lineRule="auto"/>
        <w:ind w:left="357" w:firstLine="720"/>
        <w:jc w:val="both"/>
        <w:rPr>
          <w:rFonts w:asciiTheme="majorBidi" w:eastAsia="Times New Roman" w:hAnsiTheme="majorBidi" w:cstheme="majorBidi"/>
        </w:rPr>
      </w:pPr>
      <w:r w:rsidRPr="00AB4427">
        <w:rPr>
          <w:rFonts w:asciiTheme="majorBidi" w:eastAsia="Times New Roman" w:hAnsiTheme="majorBidi" w:cstheme="majorBidi"/>
        </w:rPr>
        <w:lastRenderedPageBreak/>
        <w:t>The aspects of discipline and honesty were also rated as good, with scores of 3.88 and 3.67 respectively (</w:t>
      </w:r>
      <w:proofErr w:type="spellStart"/>
      <w:r w:rsidRPr="00AB4427">
        <w:rPr>
          <w:rFonts w:asciiTheme="majorBidi" w:eastAsia="Times New Roman" w:hAnsiTheme="majorBidi" w:cstheme="majorBidi"/>
        </w:rPr>
        <w:t>Raesi</w:t>
      </w:r>
      <w:proofErr w:type="spellEnd"/>
      <w:r w:rsidRPr="00AB4427">
        <w:rPr>
          <w:rFonts w:asciiTheme="majorBidi" w:eastAsia="Times New Roman" w:hAnsiTheme="majorBidi" w:cstheme="majorBidi"/>
        </w:rPr>
        <w:t xml:space="preserve"> &amp; Abdulkarim, 2023; </w:t>
      </w:r>
      <w:proofErr w:type="spellStart"/>
      <w:r w:rsidRPr="00AB4427">
        <w:rPr>
          <w:rFonts w:asciiTheme="majorBidi" w:eastAsia="Times New Roman" w:hAnsiTheme="majorBidi" w:cstheme="majorBidi"/>
        </w:rPr>
        <w:t>Ludfiana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Minsih</w:t>
      </w:r>
      <w:proofErr w:type="spellEnd"/>
      <w:r w:rsidRPr="00AB4427">
        <w:rPr>
          <w:rFonts w:asciiTheme="majorBidi" w:eastAsia="Times New Roman" w:hAnsiTheme="majorBidi" w:cstheme="majorBidi"/>
        </w:rPr>
        <w:t xml:space="preserve">, 2023; </w:t>
      </w:r>
      <w:proofErr w:type="spellStart"/>
      <w:r w:rsidRPr="00AB4427">
        <w:rPr>
          <w:rFonts w:asciiTheme="majorBidi" w:eastAsia="Times New Roman" w:hAnsiTheme="majorBidi" w:cstheme="majorBidi"/>
        </w:rPr>
        <w:t>Adhiyatna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Assidik</w:t>
      </w:r>
      <w:proofErr w:type="spellEnd"/>
      <w:r w:rsidRPr="00AB4427">
        <w:rPr>
          <w:rFonts w:asciiTheme="majorBidi" w:eastAsia="Times New Roman" w:hAnsiTheme="majorBidi" w:cstheme="majorBidi"/>
        </w:rPr>
        <w:t>, 2023). Students generally study regularly and complete assignments honestly, although a small proportion still exhibit behaviour such as cheating or only studying in the run-up to exams. This reinforces the finding that students’ discipline and honesty in mathematics learning can be developed through the application of teaching methods that facilitate reflection and self-evaluation, such as problem-based learning and authentic assessment (</w:t>
      </w:r>
      <w:proofErr w:type="spellStart"/>
      <w:r w:rsidRPr="00AB4427">
        <w:rPr>
          <w:rFonts w:asciiTheme="majorBidi" w:eastAsia="Times New Roman" w:hAnsiTheme="majorBidi" w:cstheme="majorBidi"/>
        </w:rPr>
        <w:t>Raesi</w:t>
      </w:r>
      <w:proofErr w:type="spellEnd"/>
      <w:r w:rsidRPr="00AB4427">
        <w:rPr>
          <w:rFonts w:asciiTheme="majorBidi" w:eastAsia="Times New Roman" w:hAnsiTheme="majorBidi" w:cstheme="majorBidi"/>
        </w:rPr>
        <w:t xml:space="preserve"> &amp; Abdulkarim, 2023; </w:t>
      </w:r>
      <w:proofErr w:type="spellStart"/>
      <w:r w:rsidRPr="00AB4427">
        <w:rPr>
          <w:rFonts w:asciiTheme="majorBidi" w:eastAsia="Times New Roman" w:hAnsiTheme="majorBidi" w:cstheme="majorBidi"/>
        </w:rPr>
        <w:t>Ludfiana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Minsih</w:t>
      </w:r>
      <w:proofErr w:type="spellEnd"/>
      <w:r w:rsidRPr="00AB4427">
        <w:rPr>
          <w:rFonts w:asciiTheme="majorBidi" w:eastAsia="Times New Roman" w:hAnsiTheme="majorBidi" w:cstheme="majorBidi"/>
        </w:rPr>
        <w:t xml:space="preserve">, 2023; </w:t>
      </w:r>
      <w:proofErr w:type="spellStart"/>
      <w:r w:rsidRPr="00AB4427">
        <w:rPr>
          <w:rFonts w:asciiTheme="majorBidi" w:eastAsia="Times New Roman" w:hAnsiTheme="majorBidi" w:cstheme="majorBidi"/>
        </w:rPr>
        <w:t>Adhiyatna</w:t>
      </w:r>
      <w:proofErr w:type="spellEnd"/>
      <w:r w:rsidRPr="00AB4427">
        <w:rPr>
          <w:rFonts w:asciiTheme="majorBidi" w:eastAsia="Times New Roman" w:hAnsiTheme="majorBidi" w:cstheme="majorBidi"/>
        </w:rPr>
        <w:t xml:space="preserve"> &amp; </w:t>
      </w:r>
      <w:proofErr w:type="spellStart"/>
      <w:r w:rsidRPr="00AB4427">
        <w:rPr>
          <w:rFonts w:asciiTheme="majorBidi" w:eastAsia="Times New Roman" w:hAnsiTheme="majorBidi" w:cstheme="majorBidi"/>
        </w:rPr>
        <w:t>Assidik</w:t>
      </w:r>
      <w:proofErr w:type="spellEnd"/>
      <w:r w:rsidRPr="00AB4427">
        <w:rPr>
          <w:rFonts w:asciiTheme="majorBidi" w:eastAsia="Times New Roman" w:hAnsiTheme="majorBidi" w:cstheme="majorBidi"/>
        </w:rPr>
        <w:t>, 2023).</w:t>
      </w:r>
    </w:p>
    <w:p w14:paraId="6B408B5D" w14:textId="278E20F3" w:rsidR="00AB4427" w:rsidRDefault="00AB4427" w:rsidP="00AB4427">
      <w:pPr>
        <w:pStyle w:val="ListParagraph"/>
        <w:widowControl w:val="0"/>
        <w:spacing w:line="228" w:lineRule="auto"/>
        <w:ind w:left="357" w:firstLine="720"/>
        <w:jc w:val="both"/>
        <w:rPr>
          <w:rFonts w:asciiTheme="majorBidi" w:eastAsia="Times New Roman" w:hAnsiTheme="majorBidi" w:cstheme="majorBidi"/>
        </w:rPr>
      </w:pPr>
      <w:r w:rsidRPr="00AB4427">
        <w:rPr>
          <w:rFonts w:asciiTheme="majorBidi" w:eastAsia="Times New Roman" w:hAnsiTheme="majorBidi" w:cstheme="majorBidi"/>
        </w:rPr>
        <w:t>The aspect that received the lowest score was the initiative to ask questions and understand the material (3.45), although this still falls within the ‘good’ category. This indicates that there is still room for improvement in fostering a hard-working attitude and self-confidence in the learning process, particularly when it comes to understanding difficult mathematical concepts.</w:t>
      </w:r>
    </w:p>
    <w:p w14:paraId="259CE339" w14:textId="02AC6139" w:rsidR="00AB4427" w:rsidRDefault="00AB4427" w:rsidP="00AB4427">
      <w:pPr>
        <w:pStyle w:val="ListParagraph"/>
        <w:widowControl w:val="0"/>
        <w:spacing w:line="229" w:lineRule="auto"/>
        <w:ind w:left="360"/>
        <w:jc w:val="both"/>
        <w:rPr>
          <w:rFonts w:asciiTheme="majorBidi" w:eastAsia="Times New Roman" w:hAnsiTheme="majorBidi" w:cstheme="majorBidi"/>
        </w:rPr>
      </w:pPr>
      <w:r w:rsidRPr="00AB4427">
        <w:rPr>
          <w:rFonts w:asciiTheme="majorBidi" w:eastAsia="Times New Roman" w:hAnsiTheme="majorBidi" w:cstheme="majorBidi"/>
        </w:rPr>
        <w:t>Overall, students’ mathematics learning habits can serve as a strong indicator for assessing the success of character education in schools. Teachers are encouraged to continue integrating character values into mathematics lessons through consistent practice, setting a good example, and reflective learning.</w:t>
      </w:r>
    </w:p>
    <w:p w14:paraId="4739D463" w14:textId="77777777" w:rsidR="00AB4427" w:rsidRDefault="00AB4427" w:rsidP="00AB4427">
      <w:pPr>
        <w:pStyle w:val="ListParagraph"/>
        <w:widowControl w:val="0"/>
        <w:spacing w:line="229" w:lineRule="auto"/>
        <w:ind w:left="360"/>
        <w:jc w:val="both"/>
        <w:rPr>
          <w:rFonts w:asciiTheme="majorBidi" w:eastAsia="Times New Roman" w:hAnsiTheme="majorBidi" w:cstheme="majorBidi"/>
        </w:rPr>
      </w:pPr>
    </w:p>
    <w:p w14:paraId="769A47BE" w14:textId="77777777" w:rsidR="00AB4427" w:rsidRPr="00AB4427" w:rsidRDefault="00AB4427" w:rsidP="00AB4427">
      <w:pPr>
        <w:pStyle w:val="ListParagraph"/>
        <w:widowControl w:val="0"/>
        <w:spacing w:line="229" w:lineRule="auto"/>
        <w:ind w:left="360"/>
        <w:rPr>
          <w:rFonts w:asciiTheme="majorBidi" w:eastAsia="Times New Roman" w:hAnsiTheme="majorBidi" w:cstheme="majorBidi"/>
          <w:b/>
          <w:bCs/>
        </w:rPr>
      </w:pPr>
      <w:r w:rsidRPr="00AB4427">
        <w:rPr>
          <w:rFonts w:asciiTheme="majorBidi" w:eastAsia="Times New Roman" w:hAnsiTheme="majorBidi" w:cstheme="majorBidi"/>
          <w:b/>
          <w:bCs/>
        </w:rPr>
        <w:t xml:space="preserve">CONCLUSION </w:t>
      </w:r>
    </w:p>
    <w:p w14:paraId="07FC2421" w14:textId="6746A4ED" w:rsidR="00AB4427" w:rsidRDefault="00AB4427" w:rsidP="00AB4427">
      <w:pPr>
        <w:pStyle w:val="ListParagraph"/>
        <w:widowControl w:val="0"/>
        <w:spacing w:line="228" w:lineRule="auto"/>
        <w:ind w:left="357" w:firstLine="720"/>
        <w:jc w:val="both"/>
        <w:rPr>
          <w:rFonts w:asciiTheme="majorBidi" w:eastAsia="Times New Roman" w:hAnsiTheme="majorBidi" w:cstheme="majorBidi"/>
        </w:rPr>
      </w:pPr>
      <w:r w:rsidRPr="00AB4427">
        <w:rPr>
          <w:rFonts w:asciiTheme="majorBidi" w:eastAsia="Times New Roman" w:hAnsiTheme="majorBidi" w:cstheme="majorBidi"/>
        </w:rPr>
        <w:t>Students’ mathematics learning habits reflect the character values that have been integrated into the learning process at school. The aspect of responsibility ranks highest, indicating that students are accustomed to completing tasks independently and on time. The aspects of discipline and honesty also fall within the ‘good’ category, reflecting students’ regularity and honesty in their studies. However, the aspect of initiative in asking questions and understanding the material received the lowest score, although it still falls within the ‘good’ category. This indicates the need to strengthen the character traits of hard work and self-confidence when facing learning challenges, particularly in mathematics. Overall, learning habits can serve as an important indicator in evaluating the success of character education in schools.</w:t>
      </w:r>
    </w:p>
    <w:p w14:paraId="6B30D471" w14:textId="77777777" w:rsidR="00AB4427" w:rsidRDefault="00AB4427" w:rsidP="00AB4427">
      <w:pPr>
        <w:widowControl w:val="0"/>
        <w:spacing w:line="228" w:lineRule="auto"/>
        <w:jc w:val="both"/>
        <w:rPr>
          <w:rFonts w:asciiTheme="majorBidi" w:eastAsia="Times New Roman" w:hAnsiTheme="majorBidi" w:cstheme="majorBidi"/>
        </w:rPr>
      </w:pPr>
    </w:p>
    <w:p w14:paraId="0519E2FE" w14:textId="4DE05F39" w:rsidR="00AB4427" w:rsidRDefault="00AB4427" w:rsidP="00AB4427">
      <w:pPr>
        <w:widowControl w:val="0"/>
        <w:spacing w:line="228" w:lineRule="auto"/>
        <w:jc w:val="both"/>
        <w:rPr>
          <w:rFonts w:asciiTheme="majorBidi" w:eastAsia="Times New Roman" w:hAnsiTheme="majorBidi" w:cstheme="majorBidi"/>
          <w:b/>
          <w:bCs/>
        </w:rPr>
      </w:pPr>
      <w:r w:rsidRPr="00AB4427">
        <w:rPr>
          <w:rFonts w:asciiTheme="majorBidi" w:eastAsia="Times New Roman" w:hAnsiTheme="majorBidi" w:cstheme="majorBidi"/>
          <w:b/>
          <w:bCs/>
        </w:rPr>
        <w:t>REFERENCES</w:t>
      </w:r>
    </w:p>
    <w:p w14:paraId="4B34F5B8" w14:textId="77777777" w:rsidR="00AB4427" w:rsidRDefault="00AB4427" w:rsidP="00AB4427">
      <w:pPr>
        <w:widowControl w:val="0"/>
        <w:spacing w:line="228" w:lineRule="auto"/>
        <w:jc w:val="both"/>
        <w:rPr>
          <w:rFonts w:asciiTheme="majorBidi" w:eastAsia="Times New Roman" w:hAnsiTheme="majorBidi" w:cstheme="majorBidi"/>
        </w:rPr>
      </w:pPr>
    </w:p>
    <w:p w14:paraId="6302B79A" w14:textId="77777777" w:rsidR="00AB4427" w:rsidRPr="00AB4427" w:rsidRDefault="00AB4427" w:rsidP="00AB4427">
      <w:pPr>
        <w:spacing w:line="240" w:lineRule="auto"/>
        <w:ind w:left="566" w:hangingChars="256" w:hanging="566"/>
        <w:jc w:val="both"/>
        <w:rPr>
          <w:rFonts w:asciiTheme="majorBidi" w:hAnsiTheme="majorBidi" w:cstheme="majorBidi"/>
          <w:color w:val="000000" w:themeColor="text1"/>
          <w:spacing w:val="1"/>
          <w:shd w:val="clear" w:color="auto" w:fill="FFFFFF"/>
        </w:rPr>
      </w:pPr>
      <w:proofErr w:type="spellStart"/>
      <w:r w:rsidRPr="00AB4427">
        <w:rPr>
          <w:rFonts w:asciiTheme="majorBidi" w:hAnsiTheme="majorBidi" w:cstheme="majorBidi"/>
          <w:color w:val="000000" w:themeColor="text1"/>
          <w:spacing w:val="1"/>
          <w:shd w:val="clear" w:color="auto" w:fill="FFFFFF"/>
        </w:rPr>
        <w:t>Adhiyatna</w:t>
      </w:r>
      <w:proofErr w:type="spellEnd"/>
      <w:r w:rsidRPr="00AB4427">
        <w:rPr>
          <w:rFonts w:asciiTheme="majorBidi" w:hAnsiTheme="majorBidi" w:cstheme="majorBidi"/>
          <w:color w:val="000000" w:themeColor="text1"/>
          <w:spacing w:val="1"/>
          <w:shd w:val="clear" w:color="auto" w:fill="FFFFFF"/>
        </w:rPr>
        <w:t xml:space="preserve">, A. and </w:t>
      </w:r>
      <w:proofErr w:type="spellStart"/>
      <w:r w:rsidRPr="00AB4427">
        <w:rPr>
          <w:rFonts w:asciiTheme="majorBidi" w:hAnsiTheme="majorBidi" w:cstheme="majorBidi"/>
          <w:color w:val="000000" w:themeColor="text1"/>
          <w:spacing w:val="1"/>
          <w:shd w:val="clear" w:color="auto" w:fill="FFFFFF"/>
        </w:rPr>
        <w:t>Assidik</w:t>
      </w:r>
      <w:proofErr w:type="spellEnd"/>
      <w:r w:rsidRPr="00AB4427">
        <w:rPr>
          <w:rFonts w:asciiTheme="majorBidi" w:hAnsiTheme="majorBidi" w:cstheme="majorBidi"/>
          <w:color w:val="000000" w:themeColor="text1"/>
          <w:spacing w:val="1"/>
          <w:shd w:val="clear" w:color="auto" w:fill="FFFFFF"/>
        </w:rPr>
        <w:t xml:space="preserve">, G. (2023). Responsible and independent character content in </w:t>
      </w:r>
      <w:proofErr w:type="spellStart"/>
      <w:r w:rsidRPr="00AB4427">
        <w:rPr>
          <w:rFonts w:asciiTheme="majorBidi" w:hAnsiTheme="majorBidi" w:cstheme="majorBidi"/>
          <w:color w:val="000000" w:themeColor="text1"/>
          <w:spacing w:val="1"/>
          <w:shd w:val="clear" w:color="auto" w:fill="FFFFFF"/>
        </w:rPr>
        <w:t>indonesian</w:t>
      </w:r>
      <w:proofErr w:type="spellEnd"/>
      <w:r w:rsidRPr="00AB4427">
        <w:rPr>
          <w:rFonts w:asciiTheme="majorBidi" w:hAnsiTheme="majorBidi" w:cstheme="majorBidi"/>
          <w:color w:val="000000" w:themeColor="text1"/>
          <w:spacing w:val="1"/>
          <w:shd w:val="clear" w:color="auto" w:fill="FFFFFF"/>
        </w:rPr>
        <w:t xml:space="preserve"> textbooks grade xi curriculum 2013., 104-119. </w:t>
      </w:r>
      <w:hyperlink r:id="rId9" w:history="1">
        <w:r w:rsidRPr="00AB4427">
          <w:rPr>
            <w:rStyle w:val="Hyperlink"/>
            <w:rFonts w:asciiTheme="majorBidi" w:hAnsiTheme="majorBidi" w:cstheme="majorBidi"/>
            <w:spacing w:val="1"/>
            <w:shd w:val="clear" w:color="auto" w:fill="FFFFFF"/>
          </w:rPr>
          <w:t>https://doi.org/10.2991/978-2-38476-086-2_11</w:t>
        </w:r>
      </w:hyperlink>
    </w:p>
    <w:p w14:paraId="7A4A846E" w14:textId="77777777" w:rsidR="00AB4427" w:rsidRPr="00AB4427" w:rsidRDefault="00AB4427" w:rsidP="00AB4427">
      <w:pPr>
        <w:spacing w:line="240" w:lineRule="auto"/>
        <w:ind w:left="566" w:hangingChars="256" w:hanging="566"/>
        <w:jc w:val="both"/>
        <w:rPr>
          <w:rFonts w:asciiTheme="majorBidi" w:hAnsiTheme="majorBidi" w:cstheme="majorBidi"/>
          <w:color w:val="000000" w:themeColor="text1"/>
        </w:rPr>
      </w:pPr>
      <w:proofErr w:type="spellStart"/>
      <w:r w:rsidRPr="00AB4427">
        <w:rPr>
          <w:rFonts w:asciiTheme="majorBidi" w:hAnsiTheme="majorBidi" w:cstheme="majorBidi"/>
          <w:color w:val="000000" w:themeColor="text1"/>
          <w:spacing w:val="1"/>
          <w:shd w:val="clear" w:color="auto" w:fill="FFFFFF"/>
        </w:rPr>
        <w:t>Anggarini</w:t>
      </w:r>
      <w:proofErr w:type="spellEnd"/>
      <w:r w:rsidRPr="00AB4427">
        <w:rPr>
          <w:rFonts w:asciiTheme="majorBidi" w:hAnsiTheme="majorBidi" w:cstheme="majorBidi"/>
          <w:color w:val="000000" w:themeColor="text1"/>
          <w:spacing w:val="1"/>
          <w:shd w:val="clear" w:color="auto" w:fill="FFFFFF"/>
        </w:rPr>
        <w:t xml:space="preserve">, N., Sanjaya, M., Sambari, R., &amp; Stefanus, M. (2023). </w:t>
      </w:r>
      <w:proofErr w:type="spellStart"/>
      <w:r w:rsidRPr="00AB4427">
        <w:rPr>
          <w:rFonts w:asciiTheme="majorBidi" w:hAnsiTheme="majorBidi" w:cstheme="majorBidi"/>
          <w:color w:val="000000" w:themeColor="text1"/>
          <w:spacing w:val="1"/>
          <w:shd w:val="clear" w:color="auto" w:fill="FFFFFF"/>
        </w:rPr>
        <w:t>Evaluasi</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pengelolaan</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limbah</w:t>
      </w:r>
      <w:proofErr w:type="spellEnd"/>
      <w:r w:rsidRPr="00AB4427">
        <w:rPr>
          <w:rFonts w:asciiTheme="majorBidi" w:hAnsiTheme="majorBidi" w:cstheme="majorBidi"/>
          <w:color w:val="000000" w:themeColor="text1"/>
          <w:spacing w:val="1"/>
          <w:shd w:val="clear" w:color="auto" w:fill="FFFFFF"/>
        </w:rPr>
        <w:t xml:space="preserve"> di </w:t>
      </w:r>
      <w:proofErr w:type="spellStart"/>
      <w:r w:rsidRPr="00AB4427">
        <w:rPr>
          <w:rFonts w:asciiTheme="majorBidi" w:hAnsiTheme="majorBidi" w:cstheme="majorBidi"/>
          <w:color w:val="000000" w:themeColor="text1"/>
          <w:spacing w:val="1"/>
          <w:shd w:val="clear" w:color="auto" w:fill="FFFFFF"/>
        </w:rPr>
        <w:t>pusat</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riset</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teknologi</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aplikasi</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isotop</w:t>
      </w:r>
      <w:proofErr w:type="spellEnd"/>
      <w:r w:rsidRPr="00AB4427">
        <w:rPr>
          <w:rFonts w:asciiTheme="majorBidi" w:hAnsiTheme="majorBidi" w:cstheme="majorBidi"/>
          <w:color w:val="000000" w:themeColor="text1"/>
          <w:spacing w:val="1"/>
          <w:shd w:val="clear" w:color="auto" w:fill="FFFFFF"/>
        </w:rPr>
        <w:t xml:space="preserve"> dan </w:t>
      </w:r>
      <w:proofErr w:type="spellStart"/>
      <w:proofErr w:type="gramStart"/>
      <w:r w:rsidRPr="00AB4427">
        <w:rPr>
          <w:rFonts w:asciiTheme="majorBidi" w:hAnsiTheme="majorBidi" w:cstheme="majorBidi"/>
          <w:color w:val="000000" w:themeColor="text1"/>
          <w:spacing w:val="1"/>
          <w:shd w:val="clear" w:color="auto" w:fill="FFFFFF"/>
        </w:rPr>
        <w:t>radiasi</w:t>
      </w:r>
      <w:proofErr w:type="spellEnd"/>
      <w:r w:rsidRPr="00AB4427">
        <w:rPr>
          <w:rFonts w:asciiTheme="majorBidi" w:hAnsiTheme="majorBidi" w:cstheme="majorBidi"/>
          <w:color w:val="000000" w:themeColor="text1"/>
          <w:spacing w:val="1"/>
          <w:shd w:val="clear" w:color="auto" w:fill="FFFFFF"/>
        </w:rPr>
        <w:t>..</w:t>
      </w:r>
      <w:proofErr w:type="gramEnd"/>
      <w:r w:rsidRPr="00AB4427">
        <w:rPr>
          <w:rFonts w:asciiTheme="majorBidi" w:hAnsiTheme="majorBidi" w:cstheme="majorBidi"/>
          <w:color w:val="000000" w:themeColor="text1"/>
          <w:spacing w:val="1"/>
          <w:shd w:val="clear" w:color="auto" w:fill="FFFFFF"/>
        </w:rPr>
        <w:t xml:space="preserve"> </w:t>
      </w:r>
      <w:hyperlink r:id="rId10" w:history="1">
        <w:r w:rsidRPr="00AB4427">
          <w:rPr>
            <w:rStyle w:val="Hyperlink"/>
            <w:rFonts w:asciiTheme="majorBidi" w:hAnsiTheme="majorBidi" w:cstheme="majorBidi"/>
            <w:spacing w:val="1"/>
            <w:shd w:val="clear" w:color="auto" w:fill="FFFFFF"/>
          </w:rPr>
          <w:t>https://doi.org/10.55981/brin.690.c660</w:t>
        </w:r>
      </w:hyperlink>
      <w:r w:rsidRPr="00AB4427">
        <w:rPr>
          <w:rFonts w:asciiTheme="majorBidi" w:hAnsiTheme="majorBidi" w:cstheme="majorBidi"/>
          <w:color w:val="000000" w:themeColor="text1"/>
          <w:spacing w:val="1"/>
          <w:shd w:val="clear" w:color="auto" w:fill="FFFFFF"/>
        </w:rPr>
        <w:t xml:space="preserve"> </w:t>
      </w:r>
    </w:p>
    <w:p w14:paraId="17C768F9" w14:textId="77777777" w:rsidR="00AB4427" w:rsidRPr="00AB4427" w:rsidRDefault="00AB4427" w:rsidP="00AB4427">
      <w:pPr>
        <w:spacing w:line="240" w:lineRule="auto"/>
        <w:ind w:left="563" w:hangingChars="256" w:hanging="563"/>
        <w:jc w:val="both"/>
        <w:rPr>
          <w:rFonts w:asciiTheme="majorBidi" w:hAnsiTheme="majorBidi" w:cstheme="majorBidi"/>
        </w:rPr>
      </w:pPr>
      <w:r w:rsidRPr="00AB4427">
        <w:rPr>
          <w:rFonts w:asciiTheme="majorBidi" w:hAnsiTheme="majorBidi" w:cstheme="majorBidi"/>
        </w:rPr>
        <w:t xml:space="preserve">Dahlan, S., Sari, R., &amp; Mansor, R. (2019). </w:t>
      </w:r>
      <w:proofErr w:type="spellStart"/>
      <w:r w:rsidRPr="00AB4427">
        <w:rPr>
          <w:rFonts w:asciiTheme="majorBidi" w:hAnsiTheme="majorBidi" w:cstheme="majorBidi"/>
        </w:rPr>
        <w:t>Kompetensi</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pedagogik</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sebuah</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tinjauan</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tentang</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internalisasi</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nilai-nilai</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karakter</w:t>
      </w:r>
      <w:proofErr w:type="spellEnd"/>
      <w:r w:rsidRPr="00AB4427">
        <w:rPr>
          <w:rFonts w:asciiTheme="majorBidi" w:hAnsiTheme="majorBidi" w:cstheme="majorBidi"/>
        </w:rPr>
        <w:t xml:space="preserve"> pada </w:t>
      </w:r>
      <w:proofErr w:type="spellStart"/>
      <w:r w:rsidRPr="00AB4427">
        <w:rPr>
          <w:rFonts w:asciiTheme="majorBidi" w:hAnsiTheme="majorBidi" w:cstheme="majorBidi"/>
        </w:rPr>
        <w:t>pembelajaran</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matematika</w:t>
      </w:r>
      <w:proofErr w:type="spellEnd"/>
      <w:r w:rsidRPr="00AB4427">
        <w:rPr>
          <w:rFonts w:asciiTheme="majorBidi" w:hAnsiTheme="majorBidi" w:cstheme="majorBidi"/>
        </w:rPr>
        <w:t xml:space="preserve"> sd. Suska Journal of Mathematics Education, 5(1), 9. </w:t>
      </w:r>
      <w:hyperlink r:id="rId11" w:history="1">
        <w:r w:rsidRPr="00AB4427">
          <w:rPr>
            <w:rStyle w:val="Hyperlink"/>
            <w:rFonts w:asciiTheme="majorBidi" w:hAnsiTheme="majorBidi" w:cstheme="majorBidi"/>
          </w:rPr>
          <w:t>https://doi.org/10.24014/sjme.v5i1.6318</w:t>
        </w:r>
      </w:hyperlink>
      <w:r w:rsidRPr="00AB4427">
        <w:rPr>
          <w:rFonts w:asciiTheme="majorBidi" w:hAnsiTheme="majorBidi" w:cstheme="majorBidi"/>
        </w:rPr>
        <w:t xml:space="preserve"> </w:t>
      </w:r>
    </w:p>
    <w:p w14:paraId="5812D96B" w14:textId="77777777" w:rsidR="00AB4427" w:rsidRPr="00AB4427" w:rsidRDefault="00AB4427" w:rsidP="00AB4427">
      <w:pPr>
        <w:spacing w:line="240" w:lineRule="auto"/>
        <w:ind w:left="563" w:hangingChars="256" w:hanging="563"/>
        <w:jc w:val="both"/>
        <w:rPr>
          <w:rFonts w:asciiTheme="majorBidi" w:hAnsiTheme="majorBidi" w:cstheme="majorBidi"/>
        </w:rPr>
      </w:pPr>
      <w:proofErr w:type="spellStart"/>
      <w:r w:rsidRPr="00AB4427">
        <w:rPr>
          <w:rFonts w:asciiTheme="majorBidi" w:hAnsiTheme="majorBidi" w:cstheme="majorBidi"/>
        </w:rPr>
        <w:t>Feranina</w:t>
      </w:r>
      <w:proofErr w:type="spellEnd"/>
      <w:r w:rsidRPr="00AB4427">
        <w:rPr>
          <w:rFonts w:asciiTheme="majorBidi" w:hAnsiTheme="majorBidi" w:cstheme="majorBidi"/>
        </w:rPr>
        <w:t xml:space="preserve">, T. and Komala, C. (2022). </w:t>
      </w:r>
      <w:proofErr w:type="spellStart"/>
      <w:r w:rsidRPr="00AB4427">
        <w:rPr>
          <w:rFonts w:asciiTheme="majorBidi" w:hAnsiTheme="majorBidi" w:cstheme="majorBidi"/>
        </w:rPr>
        <w:t>Sinergitas</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peran</w:t>
      </w:r>
      <w:proofErr w:type="spellEnd"/>
      <w:r w:rsidRPr="00AB4427">
        <w:rPr>
          <w:rFonts w:asciiTheme="majorBidi" w:hAnsiTheme="majorBidi" w:cstheme="majorBidi"/>
        </w:rPr>
        <w:t xml:space="preserve"> orang </w:t>
      </w:r>
      <w:proofErr w:type="spellStart"/>
      <w:r w:rsidRPr="00AB4427">
        <w:rPr>
          <w:rFonts w:asciiTheme="majorBidi" w:hAnsiTheme="majorBidi" w:cstheme="majorBidi"/>
        </w:rPr>
        <w:t>tua</w:t>
      </w:r>
      <w:proofErr w:type="spellEnd"/>
      <w:r w:rsidRPr="00AB4427">
        <w:rPr>
          <w:rFonts w:asciiTheme="majorBidi" w:hAnsiTheme="majorBidi" w:cstheme="majorBidi"/>
        </w:rPr>
        <w:t xml:space="preserve"> dan guru </w:t>
      </w:r>
      <w:proofErr w:type="spellStart"/>
      <w:r w:rsidRPr="00AB4427">
        <w:rPr>
          <w:rFonts w:asciiTheme="majorBidi" w:hAnsiTheme="majorBidi" w:cstheme="majorBidi"/>
        </w:rPr>
        <w:t>dalam</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pendidikan</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karakter</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anak</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Jurnal</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Perspektif</w:t>
      </w:r>
      <w:proofErr w:type="spellEnd"/>
      <w:r w:rsidRPr="00AB4427">
        <w:rPr>
          <w:rFonts w:asciiTheme="majorBidi" w:hAnsiTheme="majorBidi" w:cstheme="majorBidi"/>
        </w:rPr>
        <w:t xml:space="preserve">, 6(1), 1. </w:t>
      </w:r>
      <w:hyperlink r:id="rId12" w:history="1">
        <w:r w:rsidRPr="00AB4427">
          <w:rPr>
            <w:rStyle w:val="Hyperlink"/>
            <w:rFonts w:asciiTheme="majorBidi" w:hAnsiTheme="majorBidi" w:cstheme="majorBidi"/>
          </w:rPr>
          <w:t>https://doi.org/10.15575/jp.v6i1.163</w:t>
        </w:r>
      </w:hyperlink>
      <w:r w:rsidRPr="00AB4427">
        <w:rPr>
          <w:rFonts w:asciiTheme="majorBidi" w:hAnsiTheme="majorBidi" w:cstheme="majorBidi"/>
        </w:rPr>
        <w:t xml:space="preserve"> </w:t>
      </w:r>
    </w:p>
    <w:p w14:paraId="662BCA37" w14:textId="77777777" w:rsidR="00AB4427" w:rsidRPr="00AB4427" w:rsidRDefault="00AB4427" w:rsidP="00AB4427">
      <w:pPr>
        <w:widowControl w:val="0"/>
        <w:autoSpaceDE w:val="0"/>
        <w:autoSpaceDN w:val="0"/>
        <w:adjustRightInd w:val="0"/>
        <w:spacing w:line="240" w:lineRule="auto"/>
        <w:ind w:left="563" w:hangingChars="256" w:hanging="563"/>
        <w:jc w:val="both"/>
        <w:rPr>
          <w:rFonts w:asciiTheme="majorBidi" w:hAnsiTheme="majorBidi" w:cstheme="majorBidi"/>
          <w:noProof/>
        </w:rPr>
      </w:pPr>
      <w:r w:rsidRPr="00AB4427">
        <w:rPr>
          <w:rFonts w:asciiTheme="majorBidi" w:hAnsiTheme="majorBidi" w:cstheme="majorBidi"/>
        </w:rPr>
        <w:fldChar w:fldCharType="begin" w:fldLock="1"/>
      </w:r>
      <w:r w:rsidRPr="00AB4427">
        <w:rPr>
          <w:rFonts w:asciiTheme="majorBidi" w:hAnsiTheme="majorBidi" w:cstheme="majorBidi"/>
        </w:rPr>
        <w:instrText xml:space="preserve">ADDIN Mendeley Bibliography CSL_BIBLIOGRAPHY </w:instrText>
      </w:r>
      <w:r w:rsidRPr="00AB4427">
        <w:rPr>
          <w:rFonts w:asciiTheme="majorBidi" w:hAnsiTheme="majorBidi" w:cstheme="majorBidi"/>
        </w:rPr>
        <w:fldChar w:fldCharType="separate"/>
      </w:r>
      <w:r w:rsidRPr="00AB4427">
        <w:rPr>
          <w:rFonts w:asciiTheme="majorBidi" w:hAnsiTheme="majorBidi" w:cstheme="majorBidi"/>
          <w:noProof/>
        </w:rPr>
        <w:t xml:space="preserve">Kristanto, V. H. (2015). Buku Pendidikan karakter dalam pembelajaran Matematika di sekolah . </w:t>
      </w:r>
      <w:r w:rsidRPr="00AB4427">
        <w:rPr>
          <w:rFonts w:asciiTheme="majorBidi" w:hAnsiTheme="majorBidi" w:cstheme="majorBidi"/>
          <w:i/>
          <w:iCs/>
          <w:noProof/>
        </w:rPr>
        <w:t>Widya Warta: halaman …</w:t>
      </w:r>
      <w:r w:rsidRPr="00AB4427">
        <w:rPr>
          <w:rFonts w:asciiTheme="majorBidi" w:hAnsiTheme="majorBidi" w:cstheme="majorBidi"/>
          <w:noProof/>
        </w:rPr>
        <w:t xml:space="preserve">, 1–18. http://repository.widyamandala.ac.id/id/eprint/476  </w:t>
      </w:r>
    </w:p>
    <w:p w14:paraId="38F992D9" w14:textId="77777777" w:rsidR="00AB4427" w:rsidRPr="00AB4427" w:rsidRDefault="00AB4427" w:rsidP="00AB4427">
      <w:pPr>
        <w:spacing w:line="240" w:lineRule="auto"/>
        <w:ind w:left="563" w:hangingChars="256" w:hanging="563"/>
        <w:jc w:val="both"/>
        <w:rPr>
          <w:rFonts w:asciiTheme="majorBidi" w:hAnsiTheme="majorBidi" w:cstheme="majorBidi"/>
          <w:color w:val="000000" w:themeColor="text1"/>
          <w:spacing w:val="1"/>
          <w:shd w:val="clear" w:color="auto" w:fill="FFFFFF"/>
        </w:rPr>
      </w:pPr>
      <w:r w:rsidRPr="00AB4427">
        <w:rPr>
          <w:rFonts w:asciiTheme="majorBidi" w:hAnsiTheme="majorBidi" w:cstheme="majorBidi"/>
        </w:rPr>
        <w:fldChar w:fldCharType="end"/>
      </w:r>
      <w:proofErr w:type="spellStart"/>
      <w:r w:rsidRPr="00AB4427">
        <w:rPr>
          <w:rFonts w:asciiTheme="majorBidi" w:hAnsiTheme="majorBidi" w:cstheme="majorBidi"/>
          <w:color w:val="000000" w:themeColor="text1"/>
          <w:spacing w:val="1"/>
          <w:shd w:val="clear" w:color="auto" w:fill="FFFFFF"/>
        </w:rPr>
        <w:t>Kurniawati</w:t>
      </w:r>
      <w:proofErr w:type="spellEnd"/>
      <w:r w:rsidRPr="00AB4427">
        <w:rPr>
          <w:rFonts w:asciiTheme="majorBidi" w:hAnsiTheme="majorBidi" w:cstheme="majorBidi"/>
          <w:color w:val="000000" w:themeColor="text1"/>
          <w:spacing w:val="1"/>
          <w:shd w:val="clear" w:color="auto" w:fill="FFFFFF"/>
        </w:rPr>
        <w:t xml:space="preserve">, W. and Yulianti, S. (2022). </w:t>
      </w:r>
      <w:proofErr w:type="spellStart"/>
      <w:r w:rsidRPr="00AB4427">
        <w:rPr>
          <w:rFonts w:asciiTheme="majorBidi" w:hAnsiTheme="majorBidi" w:cstheme="majorBidi"/>
          <w:color w:val="000000" w:themeColor="text1"/>
          <w:spacing w:val="1"/>
          <w:shd w:val="clear" w:color="auto" w:fill="FFFFFF"/>
        </w:rPr>
        <w:t>Penguasaan</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kosakata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bahasa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indonesia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siswa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sekolah</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dasar</w:t>
      </w:r>
      <w:proofErr w:type="spellEnd"/>
      <w:r w:rsidRPr="00AB4427">
        <w:rPr>
          <w:rFonts w:asciiTheme="majorBidi" w:hAnsiTheme="majorBidi" w:cstheme="majorBidi"/>
          <w:color w:val="000000" w:themeColor="text1"/>
          <w:spacing w:val="1"/>
          <w:shd w:val="clear" w:color="auto" w:fill="FFFFFF"/>
        </w:rPr>
        <w:t xml:space="preserve"> di </w:t>
      </w:r>
      <w:proofErr w:type="spellStart"/>
      <w:r w:rsidRPr="00AB4427">
        <w:rPr>
          <w:rFonts w:asciiTheme="majorBidi" w:hAnsiTheme="majorBidi" w:cstheme="majorBidi"/>
          <w:color w:val="000000" w:themeColor="text1"/>
          <w:spacing w:val="1"/>
          <w:shd w:val="clear" w:color="auto" w:fill="FFFFFF"/>
        </w:rPr>
        <w:t>palangkaraya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Prosiding</w:t>
      </w:r>
      <w:proofErr w:type="spellEnd"/>
      <w:r w:rsidRPr="00AB4427">
        <w:rPr>
          <w:rFonts w:asciiTheme="majorBidi" w:hAnsiTheme="majorBidi" w:cstheme="majorBidi"/>
          <w:color w:val="000000" w:themeColor="text1"/>
          <w:spacing w:val="1"/>
          <w:shd w:val="clear" w:color="auto" w:fill="FFFFFF"/>
        </w:rPr>
        <w:t xml:space="preserve"> Seminar Nasional Bahasa Dan Sastra </w:t>
      </w:r>
      <w:proofErr w:type="spellStart"/>
      <w:r w:rsidRPr="00AB4427">
        <w:rPr>
          <w:rFonts w:asciiTheme="majorBidi" w:hAnsiTheme="majorBidi" w:cstheme="majorBidi"/>
          <w:color w:val="000000" w:themeColor="text1"/>
          <w:spacing w:val="1"/>
          <w:shd w:val="clear" w:color="auto" w:fill="FFFFFF"/>
        </w:rPr>
        <w:t>Kebinekaan</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Dalam</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Perspektif</w:t>
      </w:r>
      <w:proofErr w:type="spellEnd"/>
      <w:r w:rsidRPr="00AB4427">
        <w:rPr>
          <w:rFonts w:asciiTheme="majorBidi" w:hAnsiTheme="majorBidi" w:cstheme="majorBidi"/>
          <w:color w:val="000000" w:themeColor="text1"/>
          <w:spacing w:val="1"/>
          <w:shd w:val="clear" w:color="auto" w:fill="FFFFFF"/>
        </w:rPr>
        <w:t xml:space="preserve"> Bahasa Dan Sastra. </w:t>
      </w:r>
      <w:hyperlink r:id="rId13" w:history="1">
        <w:r w:rsidRPr="00AB4427">
          <w:rPr>
            <w:rStyle w:val="Hyperlink"/>
            <w:rFonts w:asciiTheme="majorBidi" w:hAnsiTheme="majorBidi" w:cstheme="majorBidi"/>
            <w:spacing w:val="1"/>
            <w:shd w:val="clear" w:color="auto" w:fill="FFFFFF"/>
          </w:rPr>
          <w:t>https://doi.org/10.55981/brin.305.c413</w:t>
        </w:r>
      </w:hyperlink>
      <w:r w:rsidRPr="00AB4427">
        <w:rPr>
          <w:rFonts w:asciiTheme="majorBidi" w:hAnsiTheme="majorBidi" w:cstheme="majorBidi"/>
          <w:color w:val="000000" w:themeColor="text1"/>
          <w:spacing w:val="1"/>
          <w:shd w:val="clear" w:color="auto" w:fill="FFFFFF"/>
        </w:rPr>
        <w:t xml:space="preserve"> </w:t>
      </w:r>
    </w:p>
    <w:p w14:paraId="598353C4" w14:textId="77777777" w:rsidR="00AB4427" w:rsidRPr="00AB4427" w:rsidRDefault="00AB4427" w:rsidP="00AB4427">
      <w:pPr>
        <w:spacing w:line="240" w:lineRule="auto"/>
        <w:ind w:left="566" w:hangingChars="256" w:hanging="566"/>
        <w:jc w:val="both"/>
        <w:rPr>
          <w:rFonts w:asciiTheme="majorBidi" w:hAnsiTheme="majorBidi" w:cstheme="majorBidi"/>
          <w:color w:val="000000" w:themeColor="text1"/>
          <w:spacing w:val="1"/>
          <w:shd w:val="clear" w:color="auto" w:fill="FFFFFF"/>
        </w:rPr>
      </w:pPr>
      <w:r w:rsidRPr="00AB4427">
        <w:rPr>
          <w:rFonts w:asciiTheme="majorBidi" w:hAnsiTheme="majorBidi" w:cstheme="majorBidi"/>
          <w:color w:val="000000" w:themeColor="text1"/>
          <w:spacing w:val="1"/>
          <w:shd w:val="clear" w:color="auto" w:fill="FFFFFF"/>
        </w:rPr>
        <w:t xml:space="preserve">Ludfiana, Y. and </w:t>
      </w:r>
      <w:proofErr w:type="spellStart"/>
      <w:r w:rsidRPr="00AB4427">
        <w:rPr>
          <w:rFonts w:asciiTheme="majorBidi" w:hAnsiTheme="majorBidi" w:cstheme="majorBidi"/>
          <w:color w:val="000000" w:themeColor="text1"/>
          <w:spacing w:val="1"/>
          <w:shd w:val="clear" w:color="auto" w:fill="FFFFFF"/>
        </w:rPr>
        <w:t>Minsih</w:t>
      </w:r>
      <w:proofErr w:type="spellEnd"/>
      <w:r w:rsidRPr="00AB4427">
        <w:rPr>
          <w:rFonts w:asciiTheme="majorBidi" w:hAnsiTheme="majorBidi" w:cstheme="majorBidi"/>
          <w:color w:val="000000" w:themeColor="text1"/>
          <w:spacing w:val="1"/>
          <w:shd w:val="clear" w:color="auto" w:fill="FFFFFF"/>
        </w:rPr>
        <w:t xml:space="preserve">, M. (2023). Instilling the character of responsibility and confidence through students elementary </w:t>
      </w:r>
      <w:proofErr w:type="spellStart"/>
      <w:r w:rsidRPr="00AB4427">
        <w:rPr>
          <w:rFonts w:asciiTheme="majorBidi" w:hAnsiTheme="majorBidi" w:cstheme="majorBidi"/>
          <w:color w:val="000000" w:themeColor="text1"/>
          <w:spacing w:val="1"/>
          <w:shd w:val="clear" w:color="auto" w:fill="FFFFFF"/>
        </w:rPr>
        <w:t>drumband</w:t>
      </w:r>
      <w:proofErr w:type="spellEnd"/>
      <w:r w:rsidRPr="00AB4427">
        <w:rPr>
          <w:rFonts w:asciiTheme="majorBidi" w:hAnsiTheme="majorBidi" w:cstheme="majorBidi"/>
          <w:color w:val="000000" w:themeColor="text1"/>
          <w:spacing w:val="1"/>
          <w:shd w:val="clear" w:color="auto" w:fill="FFFFFF"/>
        </w:rPr>
        <w:t xml:space="preserve"> extracurriculars., 2508-2521. </w:t>
      </w:r>
      <w:hyperlink r:id="rId14" w:history="1">
        <w:r w:rsidRPr="00AB4427">
          <w:rPr>
            <w:rStyle w:val="Hyperlink"/>
            <w:rFonts w:asciiTheme="majorBidi" w:hAnsiTheme="majorBidi" w:cstheme="majorBidi"/>
            <w:spacing w:val="1"/>
            <w:shd w:val="clear" w:color="auto" w:fill="FFFFFF"/>
          </w:rPr>
          <w:t>https://doi.org/10.2991/978-2-38476-086-2_198</w:t>
        </w:r>
      </w:hyperlink>
      <w:r w:rsidRPr="00AB4427">
        <w:rPr>
          <w:rFonts w:asciiTheme="majorBidi" w:hAnsiTheme="majorBidi" w:cstheme="majorBidi"/>
          <w:color w:val="000000" w:themeColor="text1"/>
          <w:spacing w:val="1"/>
          <w:shd w:val="clear" w:color="auto" w:fill="FFFFFF"/>
        </w:rPr>
        <w:t xml:space="preserve"> </w:t>
      </w:r>
    </w:p>
    <w:p w14:paraId="1E31643E" w14:textId="77777777" w:rsidR="00AB4427" w:rsidRPr="00AB4427" w:rsidRDefault="00AB4427" w:rsidP="00AB4427">
      <w:pPr>
        <w:spacing w:line="240" w:lineRule="auto"/>
        <w:ind w:left="566" w:hangingChars="256" w:hanging="566"/>
        <w:jc w:val="both"/>
        <w:rPr>
          <w:rFonts w:asciiTheme="majorBidi" w:hAnsiTheme="majorBidi" w:cstheme="majorBidi"/>
          <w:color w:val="000000" w:themeColor="text1"/>
          <w:spacing w:val="1"/>
          <w:shd w:val="clear" w:color="auto" w:fill="FFFFFF"/>
        </w:rPr>
      </w:pPr>
      <w:proofErr w:type="spellStart"/>
      <w:r w:rsidRPr="00AB4427">
        <w:rPr>
          <w:rFonts w:asciiTheme="majorBidi" w:hAnsiTheme="majorBidi" w:cstheme="majorBidi"/>
          <w:color w:val="000000" w:themeColor="text1"/>
          <w:spacing w:val="1"/>
        </w:rPr>
        <w:t>Mukhamdanah</w:t>
      </w:r>
      <w:proofErr w:type="spellEnd"/>
      <w:r w:rsidRPr="00AB4427">
        <w:rPr>
          <w:rFonts w:asciiTheme="majorBidi" w:hAnsiTheme="majorBidi" w:cstheme="majorBidi"/>
          <w:color w:val="000000" w:themeColor="text1"/>
          <w:spacing w:val="1"/>
        </w:rPr>
        <w:t xml:space="preserve"> &amp; </w:t>
      </w:r>
      <w:proofErr w:type="spellStart"/>
      <w:r w:rsidRPr="00AB4427">
        <w:rPr>
          <w:rFonts w:asciiTheme="majorBidi" w:hAnsiTheme="majorBidi" w:cstheme="majorBidi"/>
          <w:color w:val="000000" w:themeColor="text1"/>
          <w:spacing w:val="1"/>
        </w:rPr>
        <w:t>Inayatusshalihah</w:t>
      </w:r>
      <w:proofErr w:type="spellEnd"/>
      <w:r w:rsidRPr="00AB4427">
        <w:rPr>
          <w:rFonts w:asciiTheme="majorBidi" w:hAnsiTheme="majorBidi" w:cstheme="majorBidi"/>
          <w:color w:val="000000" w:themeColor="text1"/>
          <w:spacing w:val="1"/>
        </w:rPr>
        <w:t>,</w:t>
      </w:r>
      <w:r w:rsidRPr="00AB4427">
        <w:rPr>
          <w:rFonts w:asciiTheme="majorBidi" w:hAnsiTheme="majorBidi" w:cstheme="majorBidi"/>
          <w:color w:val="000000" w:themeColor="text1"/>
          <w:spacing w:val="1"/>
          <w:shd w:val="clear" w:color="auto" w:fill="FFFFFF"/>
        </w:rPr>
        <w:t xml:space="preserve"> (2022). </w:t>
      </w:r>
      <w:proofErr w:type="spellStart"/>
      <w:r w:rsidRPr="00AB4427">
        <w:rPr>
          <w:rFonts w:asciiTheme="majorBidi" w:hAnsiTheme="majorBidi" w:cstheme="majorBidi"/>
          <w:color w:val="000000" w:themeColor="text1"/>
          <w:spacing w:val="1"/>
          <w:shd w:val="clear" w:color="auto" w:fill="FFFFFF"/>
        </w:rPr>
        <w:t>Penguasaan</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kosakata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bahasa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indonesia</w:t>
      </w:r>
      <w:proofErr w:type="spellEnd"/>
      <w:r w:rsidRPr="00AB4427">
        <w:rPr>
          <w:rFonts w:asciiTheme="majorBidi" w:hAnsiTheme="majorBidi" w:cstheme="majorBidi"/>
          <w:color w:val="000000" w:themeColor="text1"/>
          <w:spacing w:val="1"/>
          <w:shd w:val="clear" w:color="auto" w:fill="FFFFFF"/>
        </w:rPr>
        <w:t xml:space="preserve"> oleh </w:t>
      </w:r>
      <w:proofErr w:type="spellStart"/>
      <w:r w:rsidRPr="00AB4427">
        <w:rPr>
          <w:rFonts w:asciiTheme="majorBidi" w:hAnsiTheme="majorBidi" w:cstheme="majorBidi"/>
          <w:color w:val="000000" w:themeColor="text1"/>
          <w:spacing w:val="1"/>
          <w:shd w:val="clear" w:color="auto" w:fill="FFFFFF"/>
        </w:rPr>
        <w:t>siswa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sekolah</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menengah</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pertama</w:t>
      </w:r>
      <w:proofErr w:type="spellEnd"/>
      <w:r w:rsidRPr="00AB4427">
        <w:rPr>
          <w:rFonts w:asciiTheme="majorBidi" w:hAnsiTheme="majorBidi" w:cstheme="majorBidi"/>
          <w:color w:val="000000" w:themeColor="text1"/>
          <w:spacing w:val="1"/>
          <w:shd w:val="clear" w:color="auto" w:fill="FFFFFF"/>
        </w:rPr>
        <w:t xml:space="preserve"> di </w:t>
      </w:r>
      <w:proofErr w:type="spellStart"/>
      <w:r w:rsidRPr="00AB4427">
        <w:rPr>
          <w:rFonts w:asciiTheme="majorBidi" w:hAnsiTheme="majorBidi" w:cstheme="majorBidi"/>
          <w:color w:val="000000" w:themeColor="text1"/>
          <w:spacing w:val="1"/>
          <w:shd w:val="clear" w:color="auto" w:fill="FFFFFF"/>
        </w:rPr>
        <w:t>kalimantan</w:t>
      </w:r>
      <w:proofErr w:type="spellEnd"/>
      <w:r w:rsidRPr="00AB4427">
        <w:rPr>
          <w:rFonts w:asciiTheme="majorBidi" w:hAnsiTheme="majorBidi" w:cstheme="majorBidi"/>
          <w:color w:val="000000" w:themeColor="text1"/>
          <w:spacing w:val="1"/>
          <w:shd w:val="clear" w:color="auto" w:fill="FFFFFF"/>
        </w:rPr>
        <w:t xml:space="preserve"> </w:t>
      </w:r>
      <w:proofErr w:type="spellStart"/>
      <w:proofErr w:type="gramStart"/>
      <w:r w:rsidRPr="00AB4427">
        <w:rPr>
          <w:rFonts w:asciiTheme="majorBidi" w:hAnsiTheme="majorBidi" w:cstheme="majorBidi"/>
          <w:color w:val="000000" w:themeColor="text1"/>
          <w:spacing w:val="1"/>
          <w:shd w:val="clear" w:color="auto" w:fill="FFFFFF"/>
        </w:rPr>
        <w:t>tengah:studi</w:t>
      </w:r>
      <w:proofErr w:type="spellEnd"/>
      <w:proofErr w:type="gram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kasus</w:t>
      </w:r>
      <w:proofErr w:type="spellEnd"/>
      <w:r w:rsidRPr="00AB4427">
        <w:rPr>
          <w:rFonts w:asciiTheme="majorBidi" w:hAnsiTheme="majorBidi" w:cstheme="majorBidi"/>
          <w:color w:val="000000" w:themeColor="text1"/>
          <w:spacing w:val="1"/>
          <w:shd w:val="clear" w:color="auto" w:fill="FFFFFF"/>
        </w:rPr>
        <w:t xml:space="preserve"> pada </w:t>
      </w:r>
      <w:proofErr w:type="spellStart"/>
      <w:r w:rsidRPr="00AB4427">
        <w:rPr>
          <w:rFonts w:asciiTheme="majorBidi" w:hAnsiTheme="majorBidi" w:cstheme="majorBidi"/>
          <w:color w:val="000000" w:themeColor="text1"/>
          <w:spacing w:val="1"/>
          <w:shd w:val="clear" w:color="auto" w:fill="FFFFFF"/>
        </w:rPr>
        <w:t>tiga</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sekolah</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menengah</w:t>
      </w:r>
      <w:proofErr w:type="spellEnd"/>
      <w:r w:rsidRPr="00AB4427">
        <w:rPr>
          <w:rFonts w:asciiTheme="majorBidi" w:hAnsiTheme="majorBidi" w:cstheme="majorBidi"/>
          <w:color w:val="000000" w:themeColor="text1"/>
          <w:spacing w:val="1"/>
          <w:shd w:val="clear" w:color="auto" w:fill="FFFFFF"/>
        </w:rPr>
        <w:t xml:space="preserve"> </w:t>
      </w:r>
      <w:proofErr w:type="spellStart"/>
      <w:r w:rsidRPr="00AB4427">
        <w:rPr>
          <w:rFonts w:asciiTheme="majorBidi" w:hAnsiTheme="majorBidi" w:cstheme="majorBidi"/>
          <w:color w:val="000000" w:themeColor="text1"/>
          <w:spacing w:val="1"/>
          <w:shd w:val="clear" w:color="auto" w:fill="FFFFFF"/>
        </w:rPr>
        <w:t>pertama</w:t>
      </w:r>
      <w:proofErr w:type="spellEnd"/>
      <w:r w:rsidRPr="00AB4427">
        <w:rPr>
          <w:rFonts w:asciiTheme="majorBidi" w:hAnsiTheme="majorBidi" w:cstheme="majorBidi"/>
          <w:color w:val="000000" w:themeColor="text1"/>
          <w:spacing w:val="1"/>
          <w:shd w:val="clear" w:color="auto" w:fill="FFFFFF"/>
        </w:rPr>
        <w:t xml:space="preserve"> di </w:t>
      </w:r>
      <w:proofErr w:type="spellStart"/>
      <w:r w:rsidRPr="00AB4427">
        <w:rPr>
          <w:rFonts w:asciiTheme="majorBidi" w:hAnsiTheme="majorBidi" w:cstheme="majorBidi"/>
          <w:color w:val="000000" w:themeColor="text1"/>
          <w:spacing w:val="1"/>
          <w:shd w:val="clear" w:color="auto" w:fill="FFFFFF"/>
        </w:rPr>
        <w:t>kota</w:t>
      </w:r>
      <w:proofErr w:type="spellEnd"/>
      <w:r w:rsidRPr="00AB4427">
        <w:rPr>
          <w:rFonts w:asciiTheme="majorBidi" w:hAnsiTheme="majorBidi" w:cstheme="majorBidi"/>
          <w:color w:val="000000" w:themeColor="text1"/>
          <w:spacing w:val="1"/>
          <w:shd w:val="clear" w:color="auto" w:fill="FFFFFF"/>
        </w:rPr>
        <w:t xml:space="preserve"> </w:t>
      </w:r>
      <w:proofErr w:type="spellStart"/>
      <w:proofErr w:type="gramStart"/>
      <w:r w:rsidRPr="00AB4427">
        <w:rPr>
          <w:rFonts w:asciiTheme="majorBidi" w:hAnsiTheme="majorBidi" w:cstheme="majorBidi"/>
          <w:color w:val="000000" w:themeColor="text1"/>
          <w:spacing w:val="1"/>
          <w:shd w:val="clear" w:color="auto" w:fill="FFFFFF"/>
        </w:rPr>
        <w:t>palangkaraya</w:t>
      </w:r>
      <w:proofErr w:type="spellEnd"/>
      <w:r w:rsidRPr="00AB4427">
        <w:rPr>
          <w:rFonts w:asciiTheme="majorBidi" w:hAnsiTheme="majorBidi" w:cstheme="majorBidi"/>
          <w:color w:val="000000" w:themeColor="text1"/>
          <w:spacing w:val="1"/>
          <w:shd w:val="clear" w:color="auto" w:fill="FFFFFF"/>
        </w:rPr>
        <w:t>..</w:t>
      </w:r>
      <w:proofErr w:type="gramEnd"/>
      <w:r w:rsidRPr="00AB4427">
        <w:rPr>
          <w:rFonts w:asciiTheme="majorBidi" w:hAnsiTheme="majorBidi" w:cstheme="majorBidi"/>
          <w:color w:val="000000" w:themeColor="text1"/>
          <w:spacing w:val="1"/>
          <w:shd w:val="clear" w:color="auto" w:fill="FFFFFF"/>
        </w:rPr>
        <w:t xml:space="preserve"> </w:t>
      </w:r>
      <w:hyperlink r:id="rId15" w:history="1">
        <w:r w:rsidRPr="00AB4427">
          <w:rPr>
            <w:rStyle w:val="Hyperlink"/>
            <w:rFonts w:asciiTheme="majorBidi" w:hAnsiTheme="majorBidi" w:cstheme="majorBidi"/>
            <w:spacing w:val="1"/>
            <w:shd w:val="clear" w:color="auto" w:fill="FFFFFF"/>
          </w:rPr>
          <w:t>https://doi.org/10.55981/brin.305.c409</w:t>
        </w:r>
      </w:hyperlink>
      <w:r w:rsidRPr="00AB4427">
        <w:rPr>
          <w:rFonts w:asciiTheme="majorBidi" w:hAnsiTheme="majorBidi" w:cstheme="majorBidi"/>
          <w:color w:val="000000" w:themeColor="text1"/>
          <w:spacing w:val="1"/>
          <w:shd w:val="clear" w:color="auto" w:fill="FFFFFF"/>
        </w:rPr>
        <w:t xml:space="preserve"> </w:t>
      </w:r>
    </w:p>
    <w:p w14:paraId="67DF506C" w14:textId="77777777" w:rsidR="00AB4427" w:rsidRPr="00AB4427" w:rsidRDefault="00AB4427" w:rsidP="00AB4427">
      <w:pPr>
        <w:spacing w:line="240" w:lineRule="auto"/>
        <w:ind w:left="563" w:hangingChars="256" w:hanging="563"/>
        <w:jc w:val="both"/>
        <w:rPr>
          <w:rFonts w:asciiTheme="majorBidi" w:hAnsiTheme="majorBidi" w:cstheme="majorBidi"/>
        </w:rPr>
      </w:pPr>
      <w:proofErr w:type="spellStart"/>
      <w:r w:rsidRPr="00AB4427">
        <w:rPr>
          <w:rFonts w:asciiTheme="majorBidi" w:hAnsiTheme="majorBidi" w:cstheme="majorBidi"/>
        </w:rPr>
        <w:t>Novianti</w:t>
      </w:r>
      <w:proofErr w:type="spellEnd"/>
      <w:r w:rsidRPr="00AB4427">
        <w:rPr>
          <w:rFonts w:asciiTheme="majorBidi" w:hAnsiTheme="majorBidi" w:cstheme="majorBidi"/>
        </w:rPr>
        <w:t xml:space="preserve">, D. (2021). </w:t>
      </w:r>
      <w:proofErr w:type="spellStart"/>
      <w:r w:rsidRPr="00AB4427">
        <w:rPr>
          <w:rFonts w:asciiTheme="majorBidi" w:hAnsiTheme="majorBidi" w:cstheme="majorBidi"/>
        </w:rPr>
        <w:t>Penanaman</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pendidikan</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karakter</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melalui</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pemecahan</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masalah</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matematika</w:t>
      </w:r>
      <w:proofErr w:type="spellEnd"/>
      <w:r w:rsidRPr="00AB4427">
        <w:rPr>
          <w:rFonts w:asciiTheme="majorBidi" w:hAnsiTheme="majorBidi" w:cstheme="majorBidi"/>
        </w:rPr>
        <w:t xml:space="preserve">. </w:t>
      </w:r>
      <w:proofErr w:type="spellStart"/>
      <w:r w:rsidRPr="00AB4427">
        <w:rPr>
          <w:rFonts w:asciiTheme="majorBidi" w:hAnsiTheme="majorBidi" w:cstheme="majorBidi"/>
        </w:rPr>
        <w:t>Jurnal</w:t>
      </w:r>
      <w:proofErr w:type="spellEnd"/>
      <w:r w:rsidRPr="00AB4427">
        <w:rPr>
          <w:rFonts w:asciiTheme="majorBidi" w:hAnsiTheme="majorBidi" w:cstheme="majorBidi"/>
        </w:rPr>
        <w:t xml:space="preserve"> Pendidikan </w:t>
      </w:r>
      <w:proofErr w:type="spellStart"/>
      <w:r w:rsidRPr="00AB4427">
        <w:rPr>
          <w:rFonts w:asciiTheme="majorBidi" w:hAnsiTheme="majorBidi" w:cstheme="majorBidi"/>
        </w:rPr>
        <w:t>Edutama</w:t>
      </w:r>
      <w:proofErr w:type="spellEnd"/>
      <w:r w:rsidRPr="00AB4427">
        <w:rPr>
          <w:rFonts w:asciiTheme="majorBidi" w:hAnsiTheme="majorBidi" w:cstheme="majorBidi"/>
        </w:rPr>
        <w:t xml:space="preserve">, 8(2), 117. </w:t>
      </w:r>
      <w:hyperlink r:id="rId16" w:history="1">
        <w:r w:rsidRPr="00AB4427">
          <w:rPr>
            <w:rStyle w:val="Hyperlink"/>
            <w:rFonts w:asciiTheme="majorBidi" w:hAnsiTheme="majorBidi" w:cstheme="majorBidi"/>
            <w:color w:val="000000" w:themeColor="text1"/>
          </w:rPr>
          <w:t>https://doi.org/10.30734/jpe.v8i2.1302</w:t>
        </w:r>
      </w:hyperlink>
      <w:r w:rsidRPr="00AB4427">
        <w:rPr>
          <w:rFonts w:asciiTheme="majorBidi" w:hAnsiTheme="majorBidi" w:cstheme="majorBidi"/>
        </w:rPr>
        <w:t xml:space="preserve"> </w:t>
      </w:r>
    </w:p>
    <w:p w14:paraId="7D1D3E62" w14:textId="77777777" w:rsidR="00AB4427" w:rsidRPr="00AB4427" w:rsidRDefault="00AB4427" w:rsidP="00AB4427">
      <w:pPr>
        <w:spacing w:line="240" w:lineRule="auto"/>
        <w:ind w:left="566" w:hangingChars="256" w:hanging="566"/>
        <w:jc w:val="both"/>
        <w:rPr>
          <w:rFonts w:asciiTheme="majorBidi" w:hAnsiTheme="majorBidi" w:cstheme="majorBidi"/>
          <w:color w:val="000000" w:themeColor="text1"/>
          <w:spacing w:val="1"/>
          <w:shd w:val="clear" w:color="auto" w:fill="FFFFFF"/>
        </w:rPr>
      </w:pPr>
      <w:r w:rsidRPr="00AB4427">
        <w:rPr>
          <w:rFonts w:asciiTheme="majorBidi" w:hAnsiTheme="majorBidi" w:cstheme="majorBidi"/>
          <w:color w:val="000000" w:themeColor="text1"/>
          <w:spacing w:val="1"/>
          <w:shd w:val="clear" w:color="auto" w:fill="FFFFFF"/>
        </w:rPr>
        <w:t xml:space="preserve">Purnomo, E. and </w:t>
      </w:r>
      <w:proofErr w:type="spellStart"/>
      <w:r w:rsidRPr="00AB4427">
        <w:rPr>
          <w:rFonts w:asciiTheme="majorBidi" w:hAnsiTheme="majorBidi" w:cstheme="majorBidi"/>
          <w:color w:val="000000" w:themeColor="text1"/>
          <w:spacing w:val="1"/>
          <w:shd w:val="clear" w:color="auto" w:fill="FFFFFF"/>
        </w:rPr>
        <w:t>Sabardila</w:t>
      </w:r>
      <w:proofErr w:type="spellEnd"/>
      <w:r w:rsidRPr="00AB4427">
        <w:rPr>
          <w:rFonts w:asciiTheme="majorBidi" w:hAnsiTheme="majorBidi" w:cstheme="majorBidi"/>
          <w:color w:val="000000" w:themeColor="text1"/>
          <w:spacing w:val="1"/>
          <w:shd w:val="clear" w:color="auto" w:fill="FFFFFF"/>
        </w:rPr>
        <w:t xml:space="preserve">, A. (2022). The values content of education character in </w:t>
      </w:r>
      <w:proofErr w:type="spellStart"/>
      <w:r w:rsidRPr="00AB4427">
        <w:rPr>
          <w:rFonts w:asciiTheme="majorBidi" w:hAnsiTheme="majorBidi" w:cstheme="majorBidi"/>
          <w:color w:val="000000" w:themeColor="text1"/>
          <w:spacing w:val="1"/>
          <w:shd w:val="clear" w:color="auto" w:fill="FFFFFF"/>
        </w:rPr>
        <w:t>indonesian</w:t>
      </w:r>
      <w:proofErr w:type="spellEnd"/>
      <w:r w:rsidRPr="00AB4427">
        <w:rPr>
          <w:rFonts w:asciiTheme="majorBidi" w:hAnsiTheme="majorBidi" w:cstheme="majorBidi"/>
          <w:color w:val="000000" w:themeColor="text1"/>
          <w:spacing w:val="1"/>
          <w:shd w:val="clear" w:color="auto" w:fill="FFFFFF"/>
        </w:rPr>
        <w:t xml:space="preserve"> language book of </w:t>
      </w:r>
      <w:proofErr w:type="spellStart"/>
      <w:r w:rsidRPr="00AB4427">
        <w:rPr>
          <w:rFonts w:asciiTheme="majorBidi" w:hAnsiTheme="majorBidi" w:cstheme="majorBidi"/>
          <w:color w:val="000000" w:themeColor="text1"/>
          <w:spacing w:val="1"/>
          <w:shd w:val="clear" w:color="auto" w:fill="FFFFFF"/>
        </w:rPr>
        <w:t>merdeka</w:t>
      </w:r>
      <w:proofErr w:type="spellEnd"/>
      <w:r w:rsidRPr="00AB4427">
        <w:rPr>
          <w:rFonts w:asciiTheme="majorBidi" w:hAnsiTheme="majorBidi" w:cstheme="majorBidi"/>
          <w:color w:val="000000" w:themeColor="text1"/>
          <w:spacing w:val="1"/>
          <w:shd w:val="clear" w:color="auto" w:fill="FFFFFF"/>
        </w:rPr>
        <w:t xml:space="preserve"> curriculum., 317-334. </w:t>
      </w:r>
      <w:hyperlink r:id="rId17" w:history="1">
        <w:r w:rsidRPr="00AB4427">
          <w:rPr>
            <w:rStyle w:val="Hyperlink"/>
            <w:rFonts w:asciiTheme="majorBidi" w:hAnsiTheme="majorBidi" w:cstheme="majorBidi"/>
            <w:spacing w:val="1"/>
            <w:shd w:val="clear" w:color="auto" w:fill="FFFFFF"/>
          </w:rPr>
          <w:t>https://doi.org/10.2991/978-2-494069-71-8_31</w:t>
        </w:r>
      </w:hyperlink>
      <w:r w:rsidRPr="00AB4427">
        <w:rPr>
          <w:rFonts w:asciiTheme="majorBidi" w:hAnsiTheme="majorBidi" w:cstheme="majorBidi"/>
          <w:color w:val="000000" w:themeColor="text1"/>
          <w:spacing w:val="1"/>
          <w:shd w:val="clear" w:color="auto" w:fill="FFFFFF"/>
        </w:rPr>
        <w:t xml:space="preserve"> </w:t>
      </w:r>
    </w:p>
    <w:p w14:paraId="687170D6" w14:textId="65EF3F2B" w:rsidR="00AB4427" w:rsidRPr="00AB4427" w:rsidRDefault="00AB4427" w:rsidP="00AB4427">
      <w:pPr>
        <w:spacing w:line="240" w:lineRule="auto"/>
        <w:ind w:left="566" w:hangingChars="256" w:hanging="566"/>
        <w:jc w:val="both"/>
        <w:rPr>
          <w:rFonts w:asciiTheme="majorBidi" w:eastAsia="Times New Roman" w:hAnsiTheme="majorBidi" w:cstheme="majorBidi"/>
        </w:rPr>
      </w:pPr>
      <w:r w:rsidRPr="00AB4427">
        <w:rPr>
          <w:rFonts w:asciiTheme="majorBidi" w:hAnsiTheme="majorBidi" w:cstheme="majorBidi"/>
          <w:color w:val="000000" w:themeColor="text1"/>
          <w:spacing w:val="1"/>
          <w:shd w:val="clear" w:color="auto" w:fill="FFFFFF"/>
        </w:rPr>
        <w:t xml:space="preserve">Raesi, D. and Abdulkarim, A. (2023). The role of civic education subjects in shaping the character of student responsibility., 103-108. </w:t>
      </w:r>
      <w:hyperlink r:id="rId18" w:history="1">
        <w:r w:rsidRPr="00AB4427">
          <w:rPr>
            <w:rStyle w:val="Hyperlink"/>
            <w:rFonts w:asciiTheme="majorBidi" w:hAnsiTheme="majorBidi" w:cstheme="majorBidi"/>
            <w:spacing w:val="1"/>
            <w:shd w:val="clear" w:color="auto" w:fill="FFFFFF"/>
          </w:rPr>
          <w:t>https://doi.org/10.2991/978-2-38476-096-1_12</w:t>
        </w:r>
      </w:hyperlink>
    </w:p>
    <w:p w14:paraId="7673E103" w14:textId="77777777" w:rsidR="007A45A2" w:rsidRDefault="007A45A2">
      <w:pPr>
        <w:widowControl w:val="0"/>
        <w:spacing w:before="111" w:line="229" w:lineRule="auto"/>
        <w:ind w:left="18" w:right="263"/>
        <w:jc w:val="both"/>
        <w:rPr>
          <w:rFonts w:ascii="Times New Roman" w:eastAsia="Times New Roman" w:hAnsi="Times New Roman" w:cs="Times New Roman"/>
          <w:i/>
          <w:sz w:val="18"/>
          <w:szCs w:val="18"/>
        </w:rPr>
      </w:pPr>
    </w:p>
    <w:p w14:paraId="568C21C1" w14:textId="77777777" w:rsidR="007A45A2" w:rsidRDefault="007A45A2">
      <w:pPr>
        <w:widowControl w:val="0"/>
        <w:pBdr>
          <w:top w:val="nil"/>
          <w:left w:val="nil"/>
          <w:bottom w:val="nil"/>
          <w:right w:val="nil"/>
          <w:between w:val="nil"/>
        </w:pBdr>
        <w:spacing w:before="111" w:line="229" w:lineRule="auto"/>
        <w:ind w:left="18" w:right="263" w:firstLine="571"/>
        <w:jc w:val="both"/>
        <w:rPr>
          <w:rFonts w:ascii="Times New Roman" w:eastAsia="Times New Roman" w:hAnsi="Times New Roman" w:cs="Times New Roman"/>
          <w:i/>
          <w:sz w:val="18"/>
          <w:szCs w:val="18"/>
        </w:rPr>
      </w:pPr>
    </w:p>
    <w:sectPr w:rsidR="007A45A2">
      <w:headerReference w:type="default" r:id="rId19"/>
      <w:footerReference w:type="default" r:id="rId20"/>
      <w:headerReference w:type="first" r:id="rId21"/>
      <w:footerReference w:type="first" r:id="rId22"/>
      <w:pgSz w:w="11900" w:h="16820"/>
      <w:pgMar w:top="696" w:right="1094" w:bottom="758" w:left="168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79E2" w14:textId="77777777" w:rsidR="00EE4206" w:rsidRDefault="00EE4206">
      <w:pPr>
        <w:spacing w:line="240" w:lineRule="auto"/>
      </w:pPr>
      <w:r>
        <w:separator/>
      </w:r>
    </w:p>
  </w:endnote>
  <w:endnote w:type="continuationSeparator" w:id="0">
    <w:p w14:paraId="307DD3D5" w14:textId="77777777" w:rsidR="00EE4206" w:rsidRDefault="00EE4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2DC5" w14:textId="45A63B8C" w:rsidR="007A45A2" w:rsidRDefault="007D1DE7">
    <w:pPr>
      <w:jc w:val="center"/>
      <w:rPr>
        <w:rFonts w:ascii="Times New Roman" w:eastAsia="Times New Roman" w:hAnsi="Times New Roman" w:cs="Times New Roman"/>
        <w:sz w:val="18"/>
        <w:szCs w:val="18"/>
      </w:rPr>
    </w:pPr>
    <w:r w:rsidRPr="007D1DE7">
      <w:rPr>
        <w:rFonts w:ascii="Times New Roman" w:eastAsia="Times New Roman" w:hAnsi="Times New Roman" w:cs="Times New Roman"/>
        <w:sz w:val="18"/>
        <w:szCs w:val="18"/>
      </w:rPr>
      <w:t xml:space="preserve">Neza </w:t>
    </w:r>
    <w:proofErr w:type="spellStart"/>
    <w:r w:rsidRPr="007D1DE7">
      <w:rPr>
        <w:rFonts w:ascii="Times New Roman" w:eastAsia="Times New Roman" w:hAnsi="Times New Roman" w:cs="Times New Roman"/>
        <w:sz w:val="18"/>
        <w:szCs w:val="18"/>
      </w:rPr>
      <w:t>Juspika</w:t>
    </w:r>
    <w:proofErr w:type="spellEnd"/>
    <w:r w:rsidR="00000000">
      <w:rPr>
        <w:rFonts w:ascii="Times New Roman" w:eastAsia="Times New Roman" w:hAnsi="Times New Roman" w:cs="Times New Roman"/>
        <w:sz w:val="18"/>
        <w:szCs w:val="18"/>
      </w:rPr>
      <w:t xml:space="preserve"> (</w:t>
    </w:r>
    <w:r w:rsidRPr="007D1DE7">
      <w:rPr>
        <w:rFonts w:ascii="Times New Roman" w:eastAsia="Times New Roman" w:hAnsi="Times New Roman" w:cs="Times New Roman"/>
        <w:sz w:val="18"/>
        <w:szCs w:val="18"/>
      </w:rPr>
      <w:t>Analysis of Mathematics</w:t>
    </w:r>
    <w:r w:rsidRPr="007D1DE7">
      <w:rPr>
        <w:rFonts w:ascii="Times New Roman" w:eastAsia="Times New Roman" w:hAnsi="Times New Roman" w:cs="Times New Roman"/>
        <w:sz w:val="18"/>
        <w:szCs w:val="18"/>
      </w:rPr>
      <w:t xml:space="preserve"> </w:t>
    </w:r>
    <w:r w:rsidR="00000000">
      <w:rPr>
        <w:rFonts w:ascii="Times New Roman" w:eastAsia="Times New Roman" w:hAnsi="Times New Roman" w:cs="Times New Roman"/>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E893" w14:textId="77777777" w:rsidR="007A45A2" w:rsidRDefault="00000000">
    <w:r>
      <w:rPr>
        <w:noProof/>
      </w:rPr>
      <w:drawing>
        <wp:inline distT="114300" distB="114300" distL="114300" distR="114300" wp14:anchorId="6DDDB36F" wp14:editId="6D39A315">
          <wp:extent cx="5795881" cy="889000"/>
          <wp:effectExtent l="0" t="0" r="0" b="0"/>
          <wp:docPr id="15775340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95881" cy="889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3F94" w14:textId="77777777" w:rsidR="00EE4206" w:rsidRDefault="00EE4206">
      <w:pPr>
        <w:spacing w:line="240" w:lineRule="auto"/>
      </w:pPr>
      <w:r>
        <w:separator/>
      </w:r>
    </w:p>
  </w:footnote>
  <w:footnote w:type="continuationSeparator" w:id="0">
    <w:p w14:paraId="4D0D0182" w14:textId="77777777" w:rsidR="00EE4206" w:rsidRDefault="00EE4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907D" w14:textId="77777777" w:rsidR="007A45A2" w:rsidRDefault="00000000">
    <w:pPr>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Mercumatika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Penelitian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dan Pendidikan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ISSN: 2548-1819 </w:t>
    </w:r>
  </w:p>
  <w:p w14:paraId="33E50505" w14:textId="77777777" w:rsidR="007A45A2"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3, No 1, April 2017, pp. xx-xx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C46" w14:textId="77777777" w:rsidR="007A45A2" w:rsidRDefault="00000000">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Mercumatika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Penelitian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dan Pendidikan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ISSN: 2548-1819 </w:t>
    </w:r>
  </w:p>
  <w:p w14:paraId="69C476FA" w14:textId="77777777" w:rsidR="007A45A2"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Vol. 3, No 1, April 2017, pp. xx-xx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5B0"/>
    <w:multiLevelType w:val="hybridMultilevel"/>
    <w:tmpl w:val="61243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825B63"/>
    <w:multiLevelType w:val="hybridMultilevel"/>
    <w:tmpl w:val="94D054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D0C62F8"/>
    <w:multiLevelType w:val="hybridMultilevel"/>
    <w:tmpl w:val="805A8D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D5A472D"/>
    <w:multiLevelType w:val="hybridMultilevel"/>
    <w:tmpl w:val="B6B831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71666409">
    <w:abstractNumId w:val="3"/>
  </w:num>
  <w:num w:numId="2" w16cid:durableId="2016764766">
    <w:abstractNumId w:val="1"/>
  </w:num>
  <w:num w:numId="3" w16cid:durableId="2096508011">
    <w:abstractNumId w:val="0"/>
  </w:num>
  <w:num w:numId="4" w16cid:durableId="797408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A2"/>
    <w:rsid w:val="000D4BFA"/>
    <w:rsid w:val="002144EB"/>
    <w:rsid w:val="0024131F"/>
    <w:rsid w:val="00252D95"/>
    <w:rsid w:val="00357C20"/>
    <w:rsid w:val="00442159"/>
    <w:rsid w:val="00573D08"/>
    <w:rsid w:val="0066117B"/>
    <w:rsid w:val="006B1021"/>
    <w:rsid w:val="007A0AD7"/>
    <w:rsid w:val="007A45A2"/>
    <w:rsid w:val="007D1DE7"/>
    <w:rsid w:val="00972393"/>
    <w:rsid w:val="009C467C"/>
    <w:rsid w:val="00AB4427"/>
    <w:rsid w:val="00AD17D9"/>
    <w:rsid w:val="00B15EF8"/>
    <w:rsid w:val="00B6175C"/>
    <w:rsid w:val="00B77B1F"/>
    <w:rsid w:val="00BD3040"/>
    <w:rsid w:val="00D85DAD"/>
    <w:rsid w:val="00EE4206"/>
    <w:rsid w:val="00F053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A038"/>
  <w15:docId w15:val="{3953D4FC-5BC4-4249-847B-6E8A5B8B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2D95"/>
    <w:pPr>
      <w:tabs>
        <w:tab w:val="center" w:pos="4513"/>
        <w:tab w:val="right" w:pos="9026"/>
      </w:tabs>
      <w:spacing w:line="240" w:lineRule="auto"/>
    </w:pPr>
  </w:style>
  <w:style w:type="character" w:customStyle="1" w:styleId="HeaderChar">
    <w:name w:val="Header Char"/>
    <w:basedOn w:val="DefaultParagraphFont"/>
    <w:link w:val="Header"/>
    <w:uiPriority w:val="99"/>
    <w:rsid w:val="00252D95"/>
  </w:style>
  <w:style w:type="paragraph" w:styleId="Footer">
    <w:name w:val="footer"/>
    <w:basedOn w:val="Normal"/>
    <w:link w:val="FooterChar"/>
    <w:uiPriority w:val="99"/>
    <w:unhideWhenUsed/>
    <w:rsid w:val="00252D95"/>
    <w:pPr>
      <w:tabs>
        <w:tab w:val="center" w:pos="4513"/>
        <w:tab w:val="right" w:pos="9026"/>
      </w:tabs>
      <w:spacing w:line="240" w:lineRule="auto"/>
    </w:pPr>
  </w:style>
  <w:style w:type="character" w:customStyle="1" w:styleId="FooterChar">
    <w:name w:val="Footer Char"/>
    <w:basedOn w:val="DefaultParagraphFont"/>
    <w:link w:val="Footer"/>
    <w:uiPriority w:val="99"/>
    <w:rsid w:val="00252D95"/>
  </w:style>
  <w:style w:type="paragraph" w:styleId="ListParagraph">
    <w:name w:val="List Paragraph"/>
    <w:basedOn w:val="Normal"/>
    <w:uiPriority w:val="34"/>
    <w:qFormat/>
    <w:rsid w:val="00252D95"/>
    <w:pPr>
      <w:ind w:left="720"/>
      <w:contextualSpacing/>
    </w:pPr>
  </w:style>
  <w:style w:type="paragraph" w:styleId="Caption">
    <w:name w:val="caption"/>
    <w:basedOn w:val="Normal"/>
    <w:next w:val="Normal"/>
    <w:uiPriority w:val="35"/>
    <w:unhideWhenUsed/>
    <w:qFormat/>
    <w:rsid w:val="00B6175C"/>
    <w:pPr>
      <w:spacing w:after="200" w:line="240" w:lineRule="auto"/>
    </w:pPr>
    <w:rPr>
      <w:rFonts w:asciiTheme="minorHAnsi" w:eastAsiaTheme="minorHAnsi" w:hAnsiTheme="minorHAnsi" w:cstheme="minorBidi"/>
      <w:i/>
      <w:iCs/>
      <w:color w:val="1F497D" w:themeColor="text2"/>
      <w:kern w:val="2"/>
      <w:sz w:val="18"/>
      <w:szCs w:val="18"/>
      <w:lang w:eastAsia="en-US"/>
      <w14:ligatures w14:val="standardContextual"/>
    </w:rPr>
  </w:style>
  <w:style w:type="table" w:styleId="TableGrid">
    <w:name w:val="Table Grid"/>
    <w:basedOn w:val="TableNormal"/>
    <w:uiPriority w:val="39"/>
    <w:rsid w:val="00B617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AB4427"/>
    <w:rPr>
      <w:color w:val="0563C1"/>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5981/brin.305.c413" TargetMode="External"/><Relationship Id="rId18" Type="http://schemas.openxmlformats.org/officeDocument/2006/relationships/hyperlink" Target="https://doi.org/10.2991/978-2-38476-096-1_12"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5575/jp.v6i1.163" TargetMode="External"/><Relationship Id="rId17" Type="http://schemas.openxmlformats.org/officeDocument/2006/relationships/hyperlink" Target="https://doi.org/10.2991/978-2-494069-71-8_31" TargetMode="External"/><Relationship Id="rId2" Type="http://schemas.openxmlformats.org/officeDocument/2006/relationships/styles" Target="styles.xml"/><Relationship Id="rId16" Type="http://schemas.openxmlformats.org/officeDocument/2006/relationships/hyperlink" Target="https://doi.org/10.30734/jpe.v8i2.130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014/sjme.v5i1.631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5981/brin.305.c409" TargetMode="External"/><Relationship Id="rId23" Type="http://schemas.openxmlformats.org/officeDocument/2006/relationships/fontTable" Target="fontTable.xml"/><Relationship Id="rId10" Type="http://schemas.openxmlformats.org/officeDocument/2006/relationships/hyperlink" Target="https://doi.org/10.55981/brin.690.c6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91/978-2-38476-086-2_11" TargetMode="External"/><Relationship Id="rId14" Type="http://schemas.openxmlformats.org/officeDocument/2006/relationships/hyperlink" Target="https://doi.org/10.2991/978-2-38476-086-2_19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2957</TotalTime>
  <Pages>5</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ideapad</cp:lastModifiedBy>
  <cp:revision>8</cp:revision>
  <dcterms:created xsi:type="dcterms:W3CDTF">2026-03-13T05:44:00Z</dcterms:created>
  <dcterms:modified xsi:type="dcterms:W3CDTF">2026-04-01T00:37:00Z</dcterms:modified>
</cp:coreProperties>
</file>